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81" w:rsidRPr="0077475D" w:rsidRDefault="0014156F" w:rsidP="00266C81">
      <w:pPr>
        <w:spacing w:after="24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t>
      </w:r>
      <w:r w:rsidRPr="0014156F">
        <w:rPr>
          <w:rFonts w:ascii="Times New Roman" w:hAnsi="Times New Roman" w:cs="Times New Roman"/>
          <w:b/>
          <w:sz w:val="24"/>
          <w:szCs w:val="24"/>
          <w:highlight w:val="yellow"/>
          <w:u w:val="single"/>
        </w:rPr>
        <w:t>MEDIUM RISK EMPLOYER’S</w:t>
      </w:r>
      <w:r>
        <w:rPr>
          <w:rFonts w:ascii="Times New Roman" w:hAnsi="Times New Roman" w:cs="Times New Roman"/>
          <w:b/>
          <w:sz w:val="24"/>
          <w:szCs w:val="24"/>
          <w:u w:val="single"/>
        </w:rPr>
        <w:t>]</w:t>
      </w:r>
      <w:r w:rsidR="00266C81">
        <w:rPr>
          <w:rFonts w:ascii="Times New Roman" w:hAnsi="Times New Roman" w:cs="Times New Roman"/>
          <w:b/>
          <w:sz w:val="24"/>
          <w:szCs w:val="24"/>
          <w:u w:val="single"/>
        </w:rPr>
        <w:t xml:space="preserve"> COVID-19 Preparedness and Response Plan</w:t>
      </w:r>
    </w:p>
    <w:p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w:t>
      </w:r>
      <w:r w:rsidR="00004779">
        <w:rPr>
          <w:rFonts w:ascii="Times New Roman" w:hAnsi="Times New Roman" w:cs="Times New Roman"/>
          <w:sz w:val="24"/>
          <w:szCs w:val="24"/>
        </w:rPr>
        <w:t xml:space="preserve"> with Executive Order 2020-59</w:t>
      </w:r>
      <w:r w:rsidR="002C2914">
        <w:rPr>
          <w:rFonts w:ascii="Times New Roman" w:hAnsi="Times New Roman" w:cs="Times New Roman"/>
          <w:sz w:val="24"/>
          <w:szCs w:val="24"/>
        </w:rPr>
        <w:t xml:space="preserve">, </w:t>
      </w:r>
      <w:r w:rsidR="0014156F">
        <w:rPr>
          <w:rFonts w:ascii="Times New Roman" w:hAnsi="Times New Roman" w:cs="Times New Roman"/>
          <w:sz w:val="24"/>
          <w:szCs w:val="24"/>
        </w:rPr>
        <w:t>[</w:t>
      </w:r>
      <w:r w:rsidR="0014156F" w:rsidRPr="00B94B9A">
        <w:rPr>
          <w:rFonts w:ascii="Times New Roman" w:hAnsi="Times New Roman" w:cs="Times New Roman"/>
          <w:sz w:val="24"/>
          <w:szCs w:val="24"/>
          <w:highlight w:val="yellow"/>
        </w:rPr>
        <w:t>EMPLOYER</w:t>
      </w:r>
      <w:r w:rsidR="0014156F">
        <w:rPr>
          <w:rFonts w:ascii="Times New Roman" w:hAnsi="Times New Roman" w:cs="Times New Roman"/>
          <w:sz w:val="24"/>
          <w:szCs w:val="24"/>
        </w:rPr>
        <w:t>]</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w:t>
      </w:r>
      <w:r w:rsidR="0014156F">
        <w:rPr>
          <w:rFonts w:ascii="Times New Roman" w:hAnsi="Times New Roman" w:cs="Times New Roman"/>
          <w:sz w:val="24"/>
          <w:szCs w:val="24"/>
        </w:rPr>
        <w:t xml:space="preserve">Human Resources </w:t>
      </w:r>
      <w:r>
        <w:rPr>
          <w:rFonts w:ascii="Times New Roman" w:hAnsi="Times New Roman" w:cs="Times New Roman"/>
          <w:sz w:val="24"/>
          <w:szCs w:val="24"/>
        </w:rPr>
        <w:t xml:space="preserve">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055C06">
        <w:rPr>
          <w:rFonts w:ascii="Times New Roman" w:hAnsi="Times New Roman" w:cs="Times New Roman"/>
          <w:sz w:val="24"/>
          <w:szCs w:val="24"/>
        </w:rPr>
        <w:t xml:space="preserve">are able to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p>
    <w:p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on-site;</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rsidR="00061D5E" w:rsidRDefault="00061D5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tion throughout work sites;</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DF0897">
        <w:rPr>
          <w:rFonts w:ascii="Times New Roman" w:hAnsi="Times New Roman" w:cs="Times New Roman"/>
          <w:sz w:val="24"/>
          <w:szCs w:val="24"/>
        </w:rPr>
        <w:t>medium</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w:t>
      </w:r>
      <w:r w:rsidR="00DF0897">
        <w:rPr>
          <w:rFonts w:ascii="Times New Roman" w:hAnsi="Times New Roman" w:cs="Times New Roman"/>
          <w:sz w:val="24"/>
          <w:szCs w:val="24"/>
        </w:rPr>
        <w:t>frequently and/or closely interact with the general public</w:t>
      </w:r>
      <w:r w:rsidR="00306794">
        <w:rPr>
          <w:rFonts w:ascii="Times New Roman" w:hAnsi="Times New Roman" w:cs="Times New Roman"/>
          <w:sz w:val="24"/>
          <w:szCs w:val="24"/>
        </w:rPr>
        <w:t xml:space="preserve">.  </w:t>
      </w:r>
    </w:p>
    <w:p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 xml:space="preserve">Company provides the following controls in addition to the above-summarized prevention efforts: installing physical barriers where feasible, limiting exposure to the general public, and minimizing face-to-face contact.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 on a daily basis</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945E2B" w:rsidRDefault="00945E2B" w:rsidP="00945E2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945E2B" w:rsidRDefault="00945E2B" w:rsidP="00945E2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immunocompromised; </w:t>
      </w:r>
    </w:p>
    <w:p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
    <w:p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diagnosis;  </w:t>
      </w:r>
    </w:p>
    <w:p w:rsidR="00945E2B" w:rsidRDefault="00945E2B" w:rsidP="00945E2B">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4C2663" w:rsidRPr="004C2663" w:rsidRDefault="00945E2B" w:rsidP="00945E2B">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58" w:rsidRDefault="00827F58" w:rsidP="005F20D2">
      <w:pPr>
        <w:spacing w:after="0" w:line="240" w:lineRule="auto"/>
      </w:pPr>
      <w:r>
        <w:separator/>
      </w:r>
    </w:p>
  </w:endnote>
  <w:endnote w:type="continuationSeparator" w:id="0">
    <w:p w:rsidR="00827F58" w:rsidRDefault="00827F58"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00599dc0-42d8-4525-8f1f-2789"/>
  <w:p w:rsidR="00816D2F" w:rsidRDefault="00816D2F">
    <w:pPr>
      <w:pStyle w:val="DocID"/>
    </w:pPr>
    <w:r>
      <w:fldChar w:fldCharType="begin"/>
    </w:r>
    <w:r>
      <w:instrText xml:space="preserve">  DOCPROPERTY "CUS_DocIDChunk0" </w:instrText>
    </w:r>
    <w:r>
      <w:fldChar w:fldCharType="separate"/>
    </w:r>
    <w:r>
      <w:rPr>
        <w:noProof/>
      </w:rPr>
      <w:t>Bodman_16676451_1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816D2F" w:rsidRPr="00796E9A" w:rsidRDefault="00816D2F" w:rsidP="00796E9A">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1828F6">
          <w:rPr>
            <w:rFonts w:ascii="Times New Roman" w:hAnsi="Times New Roman" w:cs="Times New Roman"/>
            <w:noProof/>
          </w:rPr>
          <w:t>1</w:t>
        </w:r>
        <w:r w:rsidRPr="00600F37">
          <w:rPr>
            <w:rFonts w:ascii="Times New Roman" w:hAnsi="Times New Roman" w:cs="Times New Roman"/>
            <w:noProof/>
          </w:rPr>
          <w:fldChar w:fldCharType="end"/>
        </w:r>
      </w:p>
    </w:sdtContent>
  </w:sdt>
  <w:p w:rsidR="00816D2F" w:rsidRDefault="00816D2F">
    <w:pPr>
      <w:pStyle w:val="DocID"/>
    </w:pPr>
    <w:bookmarkStart w:id="2" w:name="_iDocIDFielde42d2901-829d-4230-8a74-1f6b"/>
    <w:r>
      <w:rPr>
        <w:noProof/>
      </w:rPr>
      <w:t>Bodman_16676451_1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c971d72f-5a19-441c-8dc0-e401"/>
  <w:p w:rsidR="00816D2F" w:rsidRDefault="00816D2F">
    <w:pPr>
      <w:pStyle w:val="DocID"/>
    </w:pPr>
    <w:r>
      <w:fldChar w:fldCharType="begin"/>
    </w:r>
    <w:r>
      <w:instrText xml:space="preserve">  DOCPROPERTY "CUS_DocIDChunk0" </w:instrText>
    </w:r>
    <w:r>
      <w:fldChar w:fldCharType="separate"/>
    </w:r>
    <w:r>
      <w:rPr>
        <w:noProof/>
      </w:rPr>
      <w:t>Bodman_16676451_1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58" w:rsidRDefault="00827F58" w:rsidP="005F20D2">
      <w:pPr>
        <w:spacing w:after="0" w:line="240" w:lineRule="auto"/>
      </w:pPr>
      <w:r>
        <w:separator/>
      </w:r>
    </w:p>
  </w:footnote>
  <w:footnote w:type="continuationSeparator" w:id="0">
    <w:p w:rsidR="00827F58" w:rsidRDefault="00827F58"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04779"/>
    <w:rsid w:val="00010A99"/>
    <w:rsid w:val="000204BE"/>
    <w:rsid w:val="00037C6A"/>
    <w:rsid w:val="000466B9"/>
    <w:rsid w:val="00055C06"/>
    <w:rsid w:val="00061D5E"/>
    <w:rsid w:val="000C460D"/>
    <w:rsid w:val="000C5A02"/>
    <w:rsid w:val="000D6CAB"/>
    <w:rsid w:val="000F4DF1"/>
    <w:rsid w:val="00105651"/>
    <w:rsid w:val="00114697"/>
    <w:rsid w:val="00126A95"/>
    <w:rsid w:val="00133B58"/>
    <w:rsid w:val="00133ED6"/>
    <w:rsid w:val="00137809"/>
    <w:rsid w:val="0014156F"/>
    <w:rsid w:val="0014276F"/>
    <w:rsid w:val="0015075F"/>
    <w:rsid w:val="001828F6"/>
    <w:rsid w:val="001904D9"/>
    <w:rsid w:val="00195AD2"/>
    <w:rsid w:val="001C5878"/>
    <w:rsid w:val="001D613C"/>
    <w:rsid w:val="001D784B"/>
    <w:rsid w:val="001E1120"/>
    <w:rsid w:val="002265F9"/>
    <w:rsid w:val="00253D10"/>
    <w:rsid w:val="00255837"/>
    <w:rsid w:val="00266C81"/>
    <w:rsid w:val="00277EAE"/>
    <w:rsid w:val="00296FD2"/>
    <w:rsid w:val="002A64FB"/>
    <w:rsid w:val="002C15AC"/>
    <w:rsid w:val="002C2914"/>
    <w:rsid w:val="002E245A"/>
    <w:rsid w:val="002F309A"/>
    <w:rsid w:val="002F4082"/>
    <w:rsid w:val="00306794"/>
    <w:rsid w:val="00330DFF"/>
    <w:rsid w:val="00341247"/>
    <w:rsid w:val="00380F4F"/>
    <w:rsid w:val="0038799A"/>
    <w:rsid w:val="00392FBF"/>
    <w:rsid w:val="003A3C6D"/>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E7128"/>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27F58"/>
    <w:rsid w:val="00831FD2"/>
    <w:rsid w:val="00890704"/>
    <w:rsid w:val="00893432"/>
    <w:rsid w:val="008A4172"/>
    <w:rsid w:val="008A7D38"/>
    <w:rsid w:val="008D78C3"/>
    <w:rsid w:val="008E6642"/>
    <w:rsid w:val="008F2B40"/>
    <w:rsid w:val="009140B1"/>
    <w:rsid w:val="0093011E"/>
    <w:rsid w:val="00945E2B"/>
    <w:rsid w:val="009A3B48"/>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94B9A"/>
    <w:rsid w:val="00BA3FAD"/>
    <w:rsid w:val="00BF6ABB"/>
    <w:rsid w:val="00C20B8E"/>
    <w:rsid w:val="00C21BCC"/>
    <w:rsid w:val="00C262A9"/>
    <w:rsid w:val="00C4750B"/>
    <w:rsid w:val="00C85348"/>
    <w:rsid w:val="00C95783"/>
    <w:rsid w:val="00CB0056"/>
    <w:rsid w:val="00CD3F04"/>
    <w:rsid w:val="00CE721A"/>
    <w:rsid w:val="00CF1644"/>
    <w:rsid w:val="00CF502C"/>
    <w:rsid w:val="00CF546B"/>
    <w:rsid w:val="00D06A2E"/>
    <w:rsid w:val="00D63A61"/>
    <w:rsid w:val="00D76FB4"/>
    <w:rsid w:val="00DA1A03"/>
    <w:rsid w:val="00DF0897"/>
    <w:rsid w:val="00E004D3"/>
    <w:rsid w:val="00E01E95"/>
    <w:rsid w:val="00E14884"/>
    <w:rsid w:val="00E2201E"/>
    <w:rsid w:val="00E26411"/>
    <w:rsid w:val="00E7650F"/>
    <w:rsid w:val="00E91C8F"/>
    <w:rsid w:val="00EC0462"/>
    <w:rsid w:val="00EF405F"/>
    <w:rsid w:val="00EF6846"/>
    <w:rsid w:val="00F43EB0"/>
    <w:rsid w:val="00F466AE"/>
    <w:rsid w:val="00F6572D"/>
    <w:rsid w:val="00F70F3E"/>
    <w:rsid w:val="00F774EA"/>
    <w:rsid w:val="00FB7B2B"/>
    <w:rsid w:val="00FC59EF"/>
    <w:rsid w:val="00FC7282"/>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0684-C37D-4E65-A8CA-2E5C6788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2124</Words>
  <Characters>12320</Characters>
  <Application>Microsoft Office Word</Application>
  <DocSecurity>0</DocSecurity>
  <Lines>207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