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68E39" w14:textId="42EFCAF4" w:rsidR="00F16237" w:rsidRDefault="00F16237"/>
    <w:p w14:paraId="07782677" w14:textId="45849F7B" w:rsidR="00125AAE" w:rsidRDefault="00125AAE" w:rsidP="008270AA">
      <w:pPr>
        <w:jc w:val="center"/>
      </w:pPr>
      <w:r>
        <w:rPr>
          <w:noProof/>
        </w:rPr>
        <w:drawing>
          <wp:inline distT="0" distB="0" distL="0" distR="0" wp14:anchorId="78DB1DA5" wp14:editId="342A9E30">
            <wp:extent cx="5953125" cy="2257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53125" cy="2257425"/>
                    </a:xfrm>
                    <a:prstGeom prst="rect">
                      <a:avLst/>
                    </a:prstGeom>
                  </pic:spPr>
                </pic:pic>
              </a:graphicData>
            </a:graphic>
          </wp:inline>
        </w:drawing>
      </w:r>
    </w:p>
    <w:p w14:paraId="612B27AD" w14:textId="77777777" w:rsidR="00336143" w:rsidRDefault="00336143" w:rsidP="008270AA">
      <w:pPr>
        <w:jc w:val="center"/>
      </w:pPr>
    </w:p>
    <w:p w14:paraId="516EA9CC" w14:textId="77777777" w:rsidR="00336143" w:rsidRPr="00336143" w:rsidRDefault="00336143" w:rsidP="00336143">
      <w:pPr>
        <w:shd w:val="clear" w:color="auto" w:fill="FFFFFF"/>
        <w:spacing w:before="150" w:after="150" w:line="240" w:lineRule="auto"/>
        <w:outlineLvl w:val="3"/>
        <w:rPr>
          <w:rFonts w:ascii="Helvetica" w:eastAsia="Times New Roman" w:hAnsi="Helvetica" w:cs="Helvetica"/>
          <w:color w:val="222222"/>
          <w:sz w:val="48"/>
          <w:szCs w:val="48"/>
        </w:rPr>
      </w:pPr>
      <w:r w:rsidRPr="00336143">
        <w:rPr>
          <w:rFonts w:ascii="Helvetica" w:eastAsia="Times New Roman" w:hAnsi="Helvetica" w:cs="Helvetica"/>
          <w:color w:val="222222"/>
          <w:sz w:val="48"/>
          <w:szCs w:val="48"/>
        </w:rPr>
        <w:t>Overview</w:t>
      </w:r>
    </w:p>
    <w:p w14:paraId="1D74DF69" w14:textId="77777777" w:rsidR="00336143" w:rsidRPr="00336143" w:rsidRDefault="00336143" w:rsidP="00336143">
      <w:pPr>
        <w:shd w:val="clear" w:color="auto" w:fill="FFFFFF"/>
        <w:spacing w:after="150" w:line="240" w:lineRule="auto"/>
        <w:rPr>
          <w:rFonts w:ascii="Helvetica" w:eastAsia="Times New Roman" w:hAnsi="Helvetica" w:cs="Helvetica"/>
          <w:b/>
          <w:color w:val="333333"/>
          <w:sz w:val="44"/>
          <w:szCs w:val="44"/>
          <w:u w:val="single"/>
        </w:rPr>
      </w:pPr>
      <w:r w:rsidRPr="00336143">
        <w:rPr>
          <w:rFonts w:ascii="Helvetica" w:eastAsia="Times New Roman" w:hAnsi="Helvetica" w:cs="Helvetica"/>
          <w:b/>
          <w:color w:val="333333"/>
          <w:sz w:val="44"/>
          <w:szCs w:val="44"/>
          <w:u w:val="single"/>
        </w:rPr>
        <w:t>What is personal protective equipment?</w:t>
      </w:r>
    </w:p>
    <w:p w14:paraId="0674C349" w14:textId="77777777" w:rsidR="005B519B" w:rsidRDefault="00336143" w:rsidP="00336143">
      <w:pPr>
        <w:shd w:val="clear" w:color="auto" w:fill="FFFFFF"/>
        <w:spacing w:after="150" w:line="240" w:lineRule="auto"/>
        <w:rPr>
          <w:rFonts w:ascii="Helvetica" w:hAnsi="Helvetica" w:cs="Helvetica"/>
          <w:color w:val="333333"/>
          <w:sz w:val="44"/>
          <w:szCs w:val="44"/>
          <w:shd w:val="clear" w:color="auto" w:fill="FFFFFF"/>
        </w:rPr>
      </w:pPr>
      <w:r w:rsidRPr="00336143">
        <w:rPr>
          <w:rFonts w:ascii="Helvetica" w:eastAsia="Times New Roman" w:hAnsi="Helvetica" w:cs="Helvetica"/>
          <w:color w:val="333333"/>
          <w:sz w:val="44"/>
          <w:szCs w:val="44"/>
        </w:rPr>
        <w:t>Personal protective equipment, commonly referred to as "PPE", is equipment worn to minimize exposure to hazards that cause serious workplace injuries and illnesses. These injuries and illnesses may result from contact with chemical, radiological, physical, electrical, mechanical, or other workplace hazards.</w:t>
      </w:r>
      <w:r w:rsidR="005B519B" w:rsidRPr="005B519B">
        <w:rPr>
          <w:rFonts w:ascii="Helvetica" w:hAnsi="Helvetica" w:cs="Helvetica"/>
          <w:color w:val="333333"/>
          <w:sz w:val="44"/>
          <w:szCs w:val="44"/>
          <w:shd w:val="clear" w:color="auto" w:fill="FFFFFF"/>
        </w:rPr>
        <w:t xml:space="preserve"> </w:t>
      </w:r>
    </w:p>
    <w:p w14:paraId="10959E6F" w14:textId="49C43010" w:rsidR="00336143" w:rsidRPr="00336143" w:rsidRDefault="005B519B" w:rsidP="00336143">
      <w:pPr>
        <w:shd w:val="clear" w:color="auto" w:fill="FFFFFF"/>
        <w:spacing w:after="150" w:line="240" w:lineRule="auto"/>
        <w:rPr>
          <w:rFonts w:ascii="Helvetica" w:eastAsia="Times New Roman" w:hAnsi="Helvetica" w:cs="Helvetica"/>
          <w:color w:val="333333"/>
          <w:sz w:val="44"/>
          <w:szCs w:val="44"/>
        </w:rPr>
      </w:pPr>
      <w:r w:rsidRPr="005B519B">
        <w:rPr>
          <w:rFonts w:ascii="Helvetica" w:hAnsi="Helvetica" w:cs="Helvetica"/>
          <w:color w:val="333333"/>
          <w:sz w:val="44"/>
          <w:szCs w:val="44"/>
          <w:shd w:val="clear" w:color="auto" w:fill="FFFFFF"/>
        </w:rPr>
        <w:t>If PPE is to be used, a PPE program should be implemented. This program should address the hazards present; the selection, maintenance, and use of PPE; the training of employees; and monitoring of the program to ensure its ongoing effectiveness.</w:t>
      </w:r>
    </w:p>
    <w:p w14:paraId="02B734A0" w14:textId="6FB886D3" w:rsidR="008270AA" w:rsidRDefault="008270AA" w:rsidP="008270AA">
      <w:pPr>
        <w:jc w:val="center"/>
      </w:pPr>
      <w:r>
        <w:rPr>
          <w:noProof/>
        </w:rPr>
        <w:lastRenderedPageBreak/>
        <w:drawing>
          <wp:inline distT="0" distB="0" distL="0" distR="0" wp14:anchorId="47244058" wp14:editId="437479AF">
            <wp:extent cx="2985770" cy="7267575"/>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1604" cy="7403479"/>
                    </a:xfrm>
                    <a:prstGeom prst="rect">
                      <a:avLst/>
                    </a:prstGeom>
                  </pic:spPr>
                </pic:pic>
              </a:graphicData>
            </a:graphic>
          </wp:inline>
        </w:drawing>
      </w:r>
      <w:r>
        <w:rPr>
          <w:noProof/>
        </w:rPr>
        <w:drawing>
          <wp:inline distT="0" distB="0" distL="0" distR="0" wp14:anchorId="6F91EB8B" wp14:editId="3353200C">
            <wp:extent cx="2895600" cy="7296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5600" cy="7296150"/>
                    </a:xfrm>
                    <a:prstGeom prst="rect">
                      <a:avLst/>
                    </a:prstGeom>
                  </pic:spPr>
                </pic:pic>
              </a:graphicData>
            </a:graphic>
          </wp:inline>
        </w:drawing>
      </w:r>
      <w:bookmarkStart w:id="0" w:name="_GoBack"/>
      <w:bookmarkEnd w:id="0"/>
    </w:p>
    <w:p w14:paraId="321B6172" w14:textId="5F7621FC" w:rsidR="008270AA" w:rsidRDefault="008270AA" w:rsidP="00155396"/>
    <w:p w14:paraId="5202BD01" w14:textId="4AFD649B" w:rsidR="008270AA" w:rsidRDefault="008270AA" w:rsidP="008270AA">
      <w:pPr>
        <w:jc w:val="center"/>
      </w:pPr>
      <w:r>
        <w:rPr>
          <w:noProof/>
        </w:rPr>
        <w:lastRenderedPageBreak/>
        <w:drawing>
          <wp:inline distT="0" distB="0" distL="0" distR="0" wp14:anchorId="6180EC8B" wp14:editId="29FF877C">
            <wp:extent cx="5657850" cy="7858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7850" cy="7858125"/>
                    </a:xfrm>
                    <a:prstGeom prst="rect">
                      <a:avLst/>
                    </a:prstGeom>
                  </pic:spPr>
                </pic:pic>
              </a:graphicData>
            </a:graphic>
          </wp:inline>
        </w:drawing>
      </w:r>
    </w:p>
    <w:p w14:paraId="76096FDD" w14:textId="07A6B09F" w:rsidR="008270AA" w:rsidRDefault="008270AA" w:rsidP="008270AA">
      <w:pPr>
        <w:jc w:val="center"/>
      </w:pPr>
    </w:p>
    <w:p w14:paraId="20D283D4" w14:textId="770272C1" w:rsidR="008270AA" w:rsidRDefault="008270AA" w:rsidP="008270AA">
      <w:pPr>
        <w:jc w:val="center"/>
      </w:pPr>
      <w:r>
        <w:rPr>
          <w:noProof/>
        </w:rPr>
        <w:lastRenderedPageBreak/>
        <w:drawing>
          <wp:inline distT="0" distB="0" distL="0" distR="0" wp14:anchorId="492E3B9D" wp14:editId="0DB1BF3E">
            <wp:extent cx="5572125" cy="7248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2125" cy="7248525"/>
                    </a:xfrm>
                    <a:prstGeom prst="rect">
                      <a:avLst/>
                    </a:prstGeom>
                  </pic:spPr>
                </pic:pic>
              </a:graphicData>
            </a:graphic>
          </wp:inline>
        </w:drawing>
      </w:r>
    </w:p>
    <w:p w14:paraId="33F95006" w14:textId="41C9C2C7" w:rsidR="008270AA" w:rsidRDefault="008270AA" w:rsidP="008270AA">
      <w:pPr>
        <w:jc w:val="center"/>
      </w:pPr>
    </w:p>
    <w:p w14:paraId="7445C655" w14:textId="33D6913B" w:rsidR="008270AA" w:rsidRDefault="008270AA" w:rsidP="00ED1B0D"/>
    <w:p w14:paraId="498E6311" w14:textId="1C4B296C" w:rsidR="008270AA" w:rsidRDefault="008270AA" w:rsidP="008270AA">
      <w:pPr>
        <w:jc w:val="center"/>
      </w:pPr>
      <w:r>
        <w:rPr>
          <w:noProof/>
        </w:rPr>
        <w:lastRenderedPageBreak/>
        <w:drawing>
          <wp:inline distT="0" distB="0" distL="0" distR="0" wp14:anchorId="328C19F5" wp14:editId="43CCA10C">
            <wp:extent cx="5553075" cy="8029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075" cy="8029575"/>
                    </a:xfrm>
                    <a:prstGeom prst="rect">
                      <a:avLst/>
                    </a:prstGeom>
                  </pic:spPr>
                </pic:pic>
              </a:graphicData>
            </a:graphic>
          </wp:inline>
        </w:drawing>
      </w:r>
    </w:p>
    <w:p w14:paraId="0A80C278" w14:textId="1596B075" w:rsidR="008270AA" w:rsidRDefault="008270AA" w:rsidP="008270AA">
      <w:pPr>
        <w:jc w:val="center"/>
      </w:pPr>
    </w:p>
    <w:p w14:paraId="50FC350C" w14:textId="768BDE34" w:rsidR="008270AA" w:rsidRDefault="008270AA" w:rsidP="008270AA">
      <w:pPr>
        <w:jc w:val="center"/>
      </w:pPr>
    </w:p>
    <w:p w14:paraId="6ED870B7" w14:textId="3D42E4A4" w:rsidR="008270AA" w:rsidRDefault="008270AA" w:rsidP="008270AA">
      <w:pPr>
        <w:jc w:val="center"/>
      </w:pPr>
      <w:r>
        <w:rPr>
          <w:noProof/>
        </w:rPr>
        <w:drawing>
          <wp:inline distT="0" distB="0" distL="0" distR="0" wp14:anchorId="6C2C7592" wp14:editId="00A7550F">
            <wp:extent cx="5829300" cy="7477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9300" cy="7477125"/>
                    </a:xfrm>
                    <a:prstGeom prst="rect">
                      <a:avLst/>
                    </a:prstGeom>
                  </pic:spPr>
                </pic:pic>
              </a:graphicData>
            </a:graphic>
          </wp:inline>
        </w:drawing>
      </w:r>
    </w:p>
    <w:p w14:paraId="4A4A4D8E" w14:textId="3253BAE6" w:rsidR="003E139E" w:rsidRDefault="003E139E" w:rsidP="008270AA">
      <w:pPr>
        <w:jc w:val="center"/>
      </w:pPr>
      <w:r>
        <w:rPr>
          <w:noProof/>
        </w:rPr>
        <w:lastRenderedPageBreak/>
        <w:drawing>
          <wp:inline distT="0" distB="0" distL="0" distR="0" wp14:anchorId="1F0E412F" wp14:editId="6830B355">
            <wp:extent cx="5943600" cy="4336728"/>
            <wp:effectExtent l="0" t="0" r="0" b="6985"/>
            <wp:docPr id="8" name="Picture 8" descr="Jobsite Safety During Installation - VA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ite Safety During Installation - VAL-C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43600" cy="4336728"/>
                    </a:xfrm>
                    <a:prstGeom prst="rect">
                      <a:avLst/>
                    </a:prstGeom>
                    <a:noFill/>
                    <a:ln>
                      <a:noFill/>
                    </a:ln>
                  </pic:spPr>
                </pic:pic>
              </a:graphicData>
            </a:graphic>
          </wp:inline>
        </w:drawing>
      </w:r>
    </w:p>
    <w:p w14:paraId="5135E1D2" w14:textId="27BEEC7C" w:rsidR="003E139E" w:rsidRDefault="003E139E" w:rsidP="008270AA">
      <w:pPr>
        <w:jc w:val="center"/>
      </w:pPr>
    </w:p>
    <w:p w14:paraId="214F1E5F" w14:textId="77777777" w:rsidR="003E139E" w:rsidRDefault="003E139E" w:rsidP="003E139E">
      <w:pPr>
        <w:shd w:val="clear" w:color="auto" w:fill="F5F5F5"/>
        <w:spacing w:after="150" w:line="285" w:lineRule="atLeast"/>
        <w:rPr>
          <w:rFonts w:ascii="Helvetica" w:eastAsia="Times New Roman" w:hAnsi="Helvetica" w:cs="Helvetica"/>
          <w:color w:val="000000"/>
          <w:sz w:val="21"/>
          <w:szCs w:val="21"/>
        </w:rPr>
      </w:pPr>
      <w:r>
        <w:rPr>
          <w:rFonts w:ascii="Helvetica" w:eastAsia="Times New Roman" w:hAnsi="Helvetica" w:cs="Helvetica"/>
          <w:b/>
          <w:bCs/>
          <w:color w:val="000000"/>
          <w:sz w:val="21"/>
          <w:szCs w:val="21"/>
        </w:rPr>
        <w:t>Additional Information:</w:t>
      </w:r>
    </w:p>
    <w:p w14:paraId="734CE126" w14:textId="77777777" w:rsidR="003E139E" w:rsidRDefault="009E260F" w:rsidP="003E139E">
      <w:pPr>
        <w:numPr>
          <w:ilvl w:val="0"/>
          <w:numId w:val="1"/>
        </w:numPr>
        <w:shd w:val="clear" w:color="auto" w:fill="F5F5F5"/>
        <w:spacing w:before="100" w:beforeAutospacing="1" w:after="100" w:afterAutospacing="1" w:line="300" w:lineRule="atLeast"/>
        <w:ind w:left="375"/>
        <w:rPr>
          <w:rFonts w:ascii="Helvetica" w:eastAsia="Times New Roman" w:hAnsi="Helvetica" w:cs="Helvetica"/>
          <w:color w:val="000000"/>
          <w:sz w:val="21"/>
          <w:szCs w:val="21"/>
        </w:rPr>
      </w:pPr>
      <w:hyperlink r:id="rId16" w:anchor="1926_Subpart_E" w:tooltip="29 CFR 1926 Subpart E" w:history="1">
        <w:r w:rsidR="003E139E">
          <w:rPr>
            <w:rStyle w:val="Hyperlink"/>
            <w:rFonts w:ascii="Helvetica" w:eastAsia="Times New Roman" w:hAnsi="Helvetica" w:cs="Helvetica"/>
            <w:color w:val="003399"/>
            <w:sz w:val="21"/>
            <w:szCs w:val="21"/>
          </w:rPr>
          <w:t>29 CFR 1926 Subpart E</w:t>
        </w:r>
      </w:hyperlink>
      <w:r w:rsidR="003E139E">
        <w:rPr>
          <w:rFonts w:ascii="Helvetica" w:eastAsia="Times New Roman" w:hAnsi="Helvetica" w:cs="Helvetica"/>
          <w:color w:val="000000"/>
          <w:sz w:val="21"/>
          <w:szCs w:val="21"/>
        </w:rPr>
        <w:t xml:space="preserve">, Personal protective and lifesaving equipment. OSHA Standard. </w:t>
      </w:r>
    </w:p>
    <w:p w14:paraId="6766694F" w14:textId="77777777" w:rsidR="003E139E" w:rsidRDefault="009E260F" w:rsidP="003E139E">
      <w:pPr>
        <w:numPr>
          <w:ilvl w:val="1"/>
          <w:numId w:val="1"/>
        </w:numPr>
        <w:shd w:val="clear" w:color="auto" w:fill="F5F5F5"/>
        <w:spacing w:before="100" w:beforeAutospacing="1" w:after="100" w:afterAutospacing="1" w:line="300" w:lineRule="atLeast"/>
        <w:ind w:left="750"/>
        <w:rPr>
          <w:rFonts w:ascii="Helvetica" w:eastAsia="Times New Roman" w:hAnsi="Helvetica" w:cs="Helvetica"/>
          <w:color w:val="000000"/>
          <w:sz w:val="21"/>
          <w:szCs w:val="21"/>
        </w:rPr>
      </w:pPr>
      <w:hyperlink r:id="rId17" w:tooltip="1926.100" w:history="1">
        <w:r w:rsidR="003E139E">
          <w:rPr>
            <w:rStyle w:val="Hyperlink"/>
            <w:rFonts w:ascii="Helvetica" w:eastAsia="Times New Roman" w:hAnsi="Helvetica" w:cs="Helvetica"/>
            <w:color w:val="003399"/>
            <w:sz w:val="21"/>
            <w:szCs w:val="21"/>
          </w:rPr>
          <w:t>1926.100</w:t>
        </w:r>
      </w:hyperlink>
      <w:r w:rsidR="003E139E">
        <w:rPr>
          <w:rFonts w:ascii="Helvetica" w:eastAsia="Times New Roman" w:hAnsi="Helvetica" w:cs="Helvetica"/>
          <w:color w:val="000000"/>
          <w:sz w:val="21"/>
          <w:szCs w:val="21"/>
        </w:rPr>
        <w:t xml:space="preserve">, Head protection </w:t>
      </w:r>
    </w:p>
    <w:p w14:paraId="5EE2FB4D" w14:textId="77777777" w:rsidR="003E139E" w:rsidRDefault="009E260F" w:rsidP="003E139E">
      <w:pPr>
        <w:numPr>
          <w:ilvl w:val="2"/>
          <w:numId w:val="1"/>
        </w:numPr>
        <w:shd w:val="clear" w:color="auto" w:fill="F5F5F5"/>
        <w:spacing w:before="100" w:beforeAutospacing="1" w:after="100" w:afterAutospacing="1" w:line="300" w:lineRule="atLeast"/>
        <w:ind w:left="1125"/>
        <w:rPr>
          <w:rFonts w:ascii="Helvetica" w:eastAsia="Times New Roman" w:hAnsi="Helvetica" w:cs="Helvetica"/>
          <w:color w:val="000000"/>
          <w:sz w:val="21"/>
          <w:szCs w:val="21"/>
        </w:rPr>
      </w:pPr>
      <w:hyperlink r:id="rId18" w:anchor="1926.100(a)" w:tooltip="1926.100(a)" w:history="1">
        <w:r w:rsidR="003E139E">
          <w:rPr>
            <w:rStyle w:val="Hyperlink"/>
            <w:rFonts w:ascii="Helvetica" w:eastAsia="Times New Roman" w:hAnsi="Helvetica" w:cs="Helvetica"/>
            <w:color w:val="003399"/>
            <w:sz w:val="21"/>
            <w:szCs w:val="21"/>
          </w:rPr>
          <w:t>1926.100(a)</w:t>
        </w:r>
      </w:hyperlink>
    </w:p>
    <w:p w14:paraId="44CF9FA0" w14:textId="77777777" w:rsidR="003E139E" w:rsidRDefault="009E260F" w:rsidP="003E139E">
      <w:pPr>
        <w:numPr>
          <w:ilvl w:val="1"/>
          <w:numId w:val="1"/>
        </w:numPr>
        <w:shd w:val="clear" w:color="auto" w:fill="F5F5F5"/>
        <w:spacing w:before="100" w:beforeAutospacing="1" w:after="100" w:afterAutospacing="1" w:line="300" w:lineRule="atLeast"/>
        <w:ind w:left="750"/>
        <w:rPr>
          <w:rFonts w:ascii="Helvetica" w:eastAsia="Times New Roman" w:hAnsi="Helvetica" w:cs="Helvetica"/>
          <w:color w:val="000000"/>
          <w:sz w:val="21"/>
          <w:szCs w:val="21"/>
        </w:rPr>
      </w:pPr>
      <w:hyperlink r:id="rId19" w:tooltip="1926.102" w:history="1">
        <w:r w:rsidR="003E139E">
          <w:rPr>
            <w:rStyle w:val="Hyperlink"/>
            <w:rFonts w:ascii="Helvetica" w:eastAsia="Times New Roman" w:hAnsi="Helvetica" w:cs="Helvetica"/>
            <w:color w:val="003399"/>
            <w:sz w:val="21"/>
            <w:szCs w:val="21"/>
          </w:rPr>
          <w:t>1926.102</w:t>
        </w:r>
      </w:hyperlink>
      <w:r w:rsidR="003E139E">
        <w:rPr>
          <w:rFonts w:ascii="Helvetica" w:eastAsia="Times New Roman" w:hAnsi="Helvetica" w:cs="Helvetica"/>
          <w:color w:val="000000"/>
          <w:sz w:val="21"/>
          <w:szCs w:val="21"/>
        </w:rPr>
        <w:t xml:space="preserve">, Eye and face protection </w:t>
      </w:r>
    </w:p>
    <w:p w14:paraId="6C2B911E" w14:textId="77777777" w:rsidR="003E139E" w:rsidRDefault="009E260F" w:rsidP="003E139E">
      <w:pPr>
        <w:numPr>
          <w:ilvl w:val="2"/>
          <w:numId w:val="1"/>
        </w:numPr>
        <w:shd w:val="clear" w:color="auto" w:fill="F5F5F5"/>
        <w:spacing w:before="100" w:beforeAutospacing="1" w:after="100" w:afterAutospacing="1" w:line="300" w:lineRule="atLeast"/>
        <w:ind w:left="1125"/>
        <w:rPr>
          <w:rFonts w:ascii="Helvetica" w:eastAsia="Times New Roman" w:hAnsi="Helvetica" w:cs="Helvetica"/>
          <w:color w:val="000000"/>
          <w:sz w:val="21"/>
          <w:szCs w:val="21"/>
        </w:rPr>
      </w:pPr>
      <w:hyperlink r:id="rId20" w:anchor="1926.102(a)" w:tooltip="1926.102(a)" w:history="1">
        <w:r w:rsidR="003E139E">
          <w:rPr>
            <w:rStyle w:val="Hyperlink"/>
            <w:rFonts w:ascii="Helvetica" w:eastAsia="Times New Roman" w:hAnsi="Helvetica" w:cs="Helvetica"/>
            <w:color w:val="003399"/>
            <w:sz w:val="21"/>
            <w:szCs w:val="21"/>
          </w:rPr>
          <w:t>1926.102(a)</w:t>
        </w:r>
      </w:hyperlink>
      <w:r w:rsidR="003E139E">
        <w:rPr>
          <w:rFonts w:ascii="Helvetica" w:eastAsia="Times New Roman" w:hAnsi="Helvetica" w:cs="Helvetica"/>
          <w:color w:val="000000"/>
          <w:sz w:val="21"/>
          <w:szCs w:val="21"/>
        </w:rPr>
        <w:t>, General</w:t>
      </w:r>
    </w:p>
    <w:p w14:paraId="5E6B1D7D" w14:textId="77777777" w:rsidR="003E139E" w:rsidRDefault="009E260F" w:rsidP="003E139E">
      <w:pPr>
        <w:numPr>
          <w:ilvl w:val="0"/>
          <w:numId w:val="1"/>
        </w:numPr>
        <w:shd w:val="clear" w:color="auto" w:fill="F5F5F5"/>
        <w:spacing w:before="100" w:beforeAutospacing="1" w:after="100" w:afterAutospacing="1" w:line="300" w:lineRule="atLeast"/>
        <w:ind w:left="375"/>
        <w:rPr>
          <w:rFonts w:ascii="Helvetica" w:eastAsia="Times New Roman" w:hAnsi="Helvetica" w:cs="Helvetica"/>
          <w:color w:val="000000"/>
          <w:sz w:val="21"/>
          <w:szCs w:val="21"/>
        </w:rPr>
      </w:pPr>
      <w:hyperlink r:id="rId21" w:anchor="1926_Subpart_H" w:tooltip="29 CFR 1926 Subpart H" w:history="1">
        <w:r w:rsidR="003E139E">
          <w:rPr>
            <w:rStyle w:val="Hyperlink"/>
            <w:rFonts w:ascii="Helvetica" w:eastAsia="Times New Roman" w:hAnsi="Helvetica" w:cs="Helvetica"/>
            <w:color w:val="003399"/>
            <w:sz w:val="21"/>
            <w:szCs w:val="21"/>
          </w:rPr>
          <w:t>29 CFR 1926 Subpart H</w:t>
        </w:r>
      </w:hyperlink>
      <w:r w:rsidR="003E139E">
        <w:rPr>
          <w:rFonts w:ascii="Helvetica" w:eastAsia="Times New Roman" w:hAnsi="Helvetica" w:cs="Helvetica"/>
          <w:color w:val="000000"/>
          <w:sz w:val="21"/>
          <w:szCs w:val="21"/>
        </w:rPr>
        <w:t xml:space="preserve">, Materials handling, storage, use, and disposal. OSHA Standard. </w:t>
      </w:r>
    </w:p>
    <w:p w14:paraId="4E572C56" w14:textId="77777777" w:rsidR="003E139E" w:rsidRDefault="009E260F" w:rsidP="003E139E">
      <w:pPr>
        <w:numPr>
          <w:ilvl w:val="1"/>
          <w:numId w:val="1"/>
        </w:numPr>
        <w:shd w:val="clear" w:color="auto" w:fill="F5F5F5"/>
        <w:spacing w:before="100" w:beforeAutospacing="1" w:after="100" w:afterAutospacing="1" w:line="300" w:lineRule="atLeast"/>
        <w:ind w:left="750"/>
        <w:rPr>
          <w:rFonts w:ascii="Helvetica" w:eastAsia="Times New Roman" w:hAnsi="Helvetica" w:cs="Helvetica"/>
          <w:color w:val="000000"/>
          <w:sz w:val="21"/>
          <w:szCs w:val="21"/>
        </w:rPr>
      </w:pPr>
      <w:hyperlink r:id="rId22" w:tooltip="1926.250" w:history="1">
        <w:r w:rsidR="003E139E">
          <w:rPr>
            <w:rStyle w:val="Hyperlink"/>
            <w:rFonts w:ascii="Helvetica" w:eastAsia="Times New Roman" w:hAnsi="Helvetica" w:cs="Helvetica"/>
            <w:color w:val="003399"/>
            <w:sz w:val="21"/>
            <w:szCs w:val="21"/>
          </w:rPr>
          <w:t>1926.250</w:t>
        </w:r>
      </w:hyperlink>
      <w:r w:rsidR="003E139E">
        <w:rPr>
          <w:rFonts w:ascii="Helvetica" w:eastAsia="Times New Roman" w:hAnsi="Helvetica" w:cs="Helvetica"/>
          <w:color w:val="000000"/>
          <w:sz w:val="21"/>
          <w:szCs w:val="21"/>
        </w:rPr>
        <w:t xml:space="preserve">, General requirements for storage </w:t>
      </w:r>
    </w:p>
    <w:p w14:paraId="014CB69D" w14:textId="77777777" w:rsidR="003E139E" w:rsidRDefault="009E260F" w:rsidP="003E139E">
      <w:pPr>
        <w:numPr>
          <w:ilvl w:val="2"/>
          <w:numId w:val="1"/>
        </w:numPr>
        <w:shd w:val="clear" w:color="auto" w:fill="F5F5F5"/>
        <w:spacing w:before="100" w:beforeAutospacing="1" w:after="100" w:afterAutospacing="1" w:line="300" w:lineRule="atLeast"/>
        <w:ind w:left="1125"/>
        <w:rPr>
          <w:rFonts w:ascii="Helvetica" w:eastAsia="Times New Roman" w:hAnsi="Helvetica" w:cs="Helvetica"/>
          <w:color w:val="000000"/>
          <w:sz w:val="21"/>
          <w:szCs w:val="21"/>
        </w:rPr>
      </w:pPr>
      <w:hyperlink r:id="rId23" w:anchor="1926.250(a)" w:tooltip="1926.250(a)" w:history="1">
        <w:r w:rsidR="003E139E">
          <w:rPr>
            <w:rStyle w:val="Hyperlink"/>
            <w:rFonts w:ascii="Helvetica" w:eastAsia="Times New Roman" w:hAnsi="Helvetica" w:cs="Helvetica"/>
            <w:color w:val="003399"/>
            <w:sz w:val="21"/>
            <w:szCs w:val="21"/>
          </w:rPr>
          <w:t>1926.250(a)</w:t>
        </w:r>
      </w:hyperlink>
      <w:r w:rsidR="003E139E">
        <w:rPr>
          <w:rFonts w:ascii="Helvetica" w:eastAsia="Times New Roman" w:hAnsi="Helvetica" w:cs="Helvetica"/>
          <w:color w:val="000000"/>
          <w:sz w:val="21"/>
          <w:szCs w:val="21"/>
        </w:rPr>
        <w:t>, General</w:t>
      </w:r>
    </w:p>
    <w:p w14:paraId="77065091" w14:textId="77777777" w:rsidR="003E139E" w:rsidRDefault="009E260F" w:rsidP="003E139E">
      <w:pPr>
        <w:numPr>
          <w:ilvl w:val="0"/>
          <w:numId w:val="1"/>
        </w:numPr>
        <w:shd w:val="clear" w:color="auto" w:fill="F5F5F5"/>
        <w:spacing w:before="100" w:beforeAutospacing="1" w:after="100" w:afterAutospacing="1" w:line="300" w:lineRule="atLeast"/>
        <w:ind w:left="375"/>
        <w:rPr>
          <w:rFonts w:ascii="Helvetica" w:eastAsia="Times New Roman" w:hAnsi="Helvetica" w:cs="Helvetica"/>
          <w:color w:val="000000"/>
          <w:sz w:val="21"/>
          <w:szCs w:val="21"/>
        </w:rPr>
      </w:pPr>
      <w:hyperlink r:id="rId24" w:anchor="1926_Subpart_L" w:tooltip="29 CFR 1926 Subpart L" w:history="1">
        <w:r w:rsidR="003E139E">
          <w:rPr>
            <w:rStyle w:val="Hyperlink"/>
            <w:rFonts w:ascii="Helvetica" w:eastAsia="Times New Roman" w:hAnsi="Helvetica" w:cs="Helvetica"/>
            <w:color w:val="003399"/>
            <w:sz w:val="21"/>
            <w:szCs w:val="21"/>
          </w:rPr>
          <w:t>29 CFR 1926 Subpart L</w:t>
        </w:r>
      </w:hyperlink>
      <w:r w:rsidR="003E139E">
        <w:rPr>
          <w:rFonts w:ascii="Helvetica" w:eastAsia="Times New Roman" w:hAnsi="Helvetica" w:cs="Helvetica"/>
          <w:color w:val="000000"/>
          <w:sz w:val="21"/>
          <w:szCs w:val="21"/>
        </w:rPr>
        <w:t xml:space="preserve">, Scaffolds. OSHA Standard. </w:t>
      </w:r>
    </w:p>
    <w:p w14:paraId="484DB8F9" w14:textId="77777777" w:rsidR="003E139E" w:rsidRDefault="009E260F" w:rsidP="003E139E">
      <w:pPr>
        <w:numPr>
          <w:ilvl w:val="1"/>
          <w:numId w:val="1"/>
        </w:numPr>
        <w:shd w:val="clear" w:color="auto" w:fill="F5F5F5"/>
        <w:spacing w:before="100" w:beforeAutospacing="1" w:after="100" w:afterAutospacing="1" w:line="300" w:lineRule="atLeast"/>
        <w:ind w:left="750"/>
        <w:rPr>
          <w:rFonts w:ascii="Helvetica" w:eastAsia="Times New Roman" w:hAnsi="Helvetica" w:cs="Helvetica"/>
          <w:color w:val="000000"/>
          <w:sz w:val="21"/>
          <w:szCs w:val="21"/>
        </w:rPr>
      </w:pPr>
      <w:hyperlink r:id="rId25" w:tooltip="1926.451" w:history="1">
        <w:r w:rsidR="003E139E">
          <w:rPr>
            <w:rStyle w:val="Hyperlink"/>
            <w:rFonts w:ascii="Helvetica" w:eastAsia="Times New Roman" w:hAnsi="Helvetica" w:cs="Helvetica"/>
            <w:color w:val="003399"/>
            <w:sz w:val="21"/>
            <w:szCs w:val="21"/>
          </w:rPr>
          <w:t>1926.451</w:t>
        </w:r>
      </w:hyperlink>
      <w:r w:rsidR="003E139E">
        <w:rPr>
          <w:rFonts w:ascii="Helvetica" w:eastAsia="Times New Roman" w:hAnsi="Helvetica" w:cs="Helvetica"/>
          <w:color w:val="000000"/>
          <w:sz w:val="21"/>
          <w:szCs w:val="21"/>
        </w:rPr>
        <w:t xml:space="preserve">, General requirements </w:t>
      </w:r>
    </w:p>
    <w:p w14:paraId="68BDF5DB" w14:textId="77777777" w:rsidR="003E139E" w:rsidRDefault="009E260F" w:rsidP="003E139E">
      <w:pPr>
        <w:numPr>
          <w:ilvl w:val="2"/>
          <w:numId w:val="1"/>
        </w:numPr>
        <w:shd w:val="clear" w:color="auto" w:fill="F5F5F5"/>
        <w:spacing w:before="100" w:beforeAutospacing="1" w:after="100" w:afterAutospacing="1" w:line="300" w:lineRule="atLeast"/>
        <w:ind w:left="1125"/>
        <w:rPr>
          <w:rFonts w:ascii="Helvetica" w:eastAsia="Times New Roman" w:hAnsi="Helvetica" w:cs="Helvetica"/>
          <w:color w:val="000000"/>
          <w:sz w:val="21"/>
          <w:szCs w:val="21"/>
        </w:rPr>
      </w:pPr>
      <w:hyperlink r:id="rId26" w:anchor="1926.451(h)" w:tooltip="1926.451(h)" w:history="1">
        <w:r w:rsidR="003E139E">
          <w:rPr>
            <w:rStyle w:val="Hyperlink"/>
            <w:rFonts w:ascii="Helvetica" w:eastAsia="Times New Roman" w:hAnsi="Helvetica" w:cs="Helvetica"/>
            <w:color w:val="003399"/>
            <w:sz w:val="21"/>
            <w:szCs w:val="21"/>
          </w:rPr>
          <w:t>1926.451(h)</w:t>
        </w:r>
      </w:hyperlink>
      <w:r w:rsidR="003E139E">
        <w:rPr>
          <w:rFonts w:ascii="Helvetica" w:eastAsia="Times New Roman" w:hAnsi="Helvetica" w:cs="Helvetica"/>
          <w:color w:val="000000"/>
          <w:sz w:val="21"/>
          <w:szCs w:val="21"/>
        </w:rPr>
        <w:t>, Falling object protection</w:t>
      </w:r>
    </w:p>
    <w:p w14:paraId="5A8DC4BF" w14:textId="77777777" w:rsidR="003E139E" w:rsidRDefault="009E260F" w:rsidP="003E139E">
      <w:pPr>
        <w:numPr>
          <w:ilvl w:val="0"/>
          <w:numId w:val="1"/>
        </w:numPr>
        <w:shd w:val="clear" w:color="auto" w:fill="F5F5F5"/>
        <w:spacing w:before="100" w:beforeAutospacing="1" w:after="100" w:afterAutospacing="1" w:line="300" w:lineRule="atLeast"/>
        <w:ind w:left="375"/>
        <w:rPr>
          <w:rFonts w:ascii="Helvetica" w:eastAsia="Times New Roman" w:hAnsi="Helvetica" w:cs="Helvetica"/>
          <w:color w:val="000000"/>
          <w:sz w:val="21"/>
          <w:szCs w:val="21"/>
        </w:rPr>
      </w:pPr>
      <w:hyperlink r:id="rId27" w:tooltip="29 CFR 1926 Subpart CC" w:history="1">
        <w:r w:rsidR="003E139E">
          <w:rPr>
            <w:rStyle w:val="Hyperlink"/>
            <w:rFonts w:ascii="Helvetica" w:eastAsia="Times New Roman" w:hAnsi="Helvetica" w:cs="Helvetica"/>
            <w:color w:val="003399"/>
            <w:sz w:val="21"/>
            <w:szCs w:val="21"/>
          </w:rPr>
          <w:t>29 CFR 1926 Subpart CC</w:t>
        </w:r>
      </w:hyperlink>
      <w:r w:rsidR="003E139E">
        <w:rPr>
          <w:rFonts w:ascii="Helvetica" w:eastAsia="Times New Roman" w:hAnsi="Helvetica" w:cs="Helvetica"/>
          <w:color w:val="000000"/>
          <w:sz w:val="21"/>
          <w:szCs w:val="21"/>
        </w:rPr>
        <w:t xml:space="preserve">, Cranes and Derricks in Construction. OSHA Standard. </w:t>
      </w:r>
    </w:p>
    <w:p w14:paraId="0BC1CCB3" w14:textId="77777777" w:rsidR="003E139E" w:rsidRDefault="009E260F" w:rsidP="003E139E">
      <w:pPr>
        <w:numPr>
          <w:ilvl w:val="1"/>
          <w:numId w:val="1"/>
        </w:numPr>
        <w:shd w:val="clear" w:color="auto" w:fill="F5F5F5"/>
        <w:spacing w:before="100" w:beforeAutospacing="1" w:after="100" w:afterAutospacing="1" w:line="300" w:lineRule="atLeast"/>
        <w:ind w:left="750"/>
        <w:rPr>
          <w:rFonts w:ascii="Helvetica" w:eastAsia="Times New Roman" w:hAnsi="Helvetica" w:cs="Helvetica"/>
          <w:color w:val="000000"/>
          <w:sz w:val="21"/>
          <w:szCs w:val="21"/>
        </w:rPr>
      </w:pPr>
      <w:hyperlink r:id="rId28" w:anchor="1926.1431(e)(10)" w:tooltip="1926.1431(e)(10)" w:history="1">
        <w:r w:rsidR="003E139E">
          <w:rPr>
            <w:rStyle w:val="Hyperlink"/>
            <w:rFonts w:ascii="Helvetica" w:eastAsia="Times New Roman" w:hAnsi="Helvetica" w:cs="Helvetica"/>
            <w:color w:val="003399"/>
            <w:sz w:val="21"/>
            <w:szCs w:val="21"/>
          </w:rPr>
          <w:t>1926.1431(e</w:t>
        </w:r>
        <w:proofErr w:type="gramStart"/>
        <w:r w:rsidR="003E139E">
          <w:rPr>
            <w:rStyle w:val="Hyperlink"/>
            <w:rFonts w:ascii="Helvetica" w:eastAsia="Times New Roman" w:hAnsi="Helvetica" w:cs="Helvetica"/>
            <w:color w:val="003399"/>
            <w:sz w:val="21"/>
            <w:szCs w:val="21"/>
          </w:rPr>
          <w:t>)(</w:t>
        </w:r>
        <w:proofErr w:type="gramEnd"/>
        <w:r w:rsidR="003E139E">
          <w:rPr>
            <w:rStyle w:val="Hyperlink"/>
            <w:rFonts w:ascii="Helvetica" w:eastAsia="Times New Roman" w:hAnsi="Helvetica" w:cs="Helvetica"/>
            <w:color w:val="003399"/>
            <w:sz w:val="21"/>
            <w:szCs w:val="21"/>
          </w:rPr>
          <w:t>10)</w:t>
        </w:r>
      </w:hyperlink>
      <w:r w:rsidR="003E139E">
        <w:rPr>
          <w:rFonts w:ascii="Helvetica" w:eastAsia="Times New Roman" w:hAnsi="Helvetica" w:cs="Helvetica"/>
          <w:color w:val="000000"/>
          <w:sz w:val="21"/>
          <w:szCs w:val="21"/>
        </w:rPr>
        <w:t>, Hoisting personnel</w:t>
      </w:r>
    </w:p>
    <w:p w14:paraId="62830858" w14:textId="77777777" w:rsidR="003E139E" w:rsidRDefault="003E139E" w:rsidP="008270AA">
      <w:pPr>
        <w:jc w:val="center"/>
      </w:pPr>
    </w:p>
    <w:sectPr w:rsidR="003E139E">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1188C" w14:textId="77777777" w:rsidR="009E260F" w:rsidRDefault="009E260F" w:rsidP="00ED1B0D">
      <w:pPr>
        <w:spacing w:after="0" w:line="240" w:lineRule="auto"/>
      </w:pPr>
      <w:r>
        <w:separator/>
      </w:r>
    </w:p>
  </w:endnote>
  <w:endnote w:type="continuationSeparator" w:id="0">
    <w:p w14:paraId="048567DF" w14:textId="77777777" w:rsidR="009E260F" w:rsidRDefault="009E260F" w:rsidP="00ED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93980" w14:textId="77777777" w:rsidR="009E260F" w:rsidRDefault="009E260F" w:rsidP="00ED1B0D">
      <w:pPr>
        <w:spacing w:after="0" w:line="240" w:lineRule="auto"/>
      </w:pPr>
      <w:r>
        <w:separator/>
      </w:r>
    </w:p>
  </w:footnote>
  <w:footnote w:type="continuationSeparator" w:id="0">
    <w:p w14:paraId="3A5238A3" w14:textId="77777777" w:rsidR="009E260F" w:rsidRDefault="009E260F" w:rsidP="00ED1B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178D0" w14:textId="7C990411" w:rsidR="00C21D4B" w:rsidRPr="00C21D4B" w:rsidRDefault="00C21D4B" w:rsidP="00C21D4B">
    <w:pPr>
      <w:pStyle w:val="Header"/>
      <w:jc w:val="center"/>
      <w:rPr>
        <w:b/>
        <w:sz w:val="56"/>
        <w:szCs w:val="56"/>
      </w:rPr>
    </w:pPr>
    <w:r w:rsidRPr="00C21D4B">
      <w:rPr>
        <w:b/>
        <w:sz w:val="56"/>
        <w:szCs w:val="56"/>
      </w:rPr>
      <w:t>Personal Protective Equipment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544B8C"/>
    <w:multiLevelType w:val="multilevel"/>
    <w:tmpl w:val="0C7E7D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AAE"/>
    <w:rsid w:val="00125AAE"/>
    <w:rsid w:val="00155396"/>
    <w:rsid w:val="001B2EB3"/>
    <w:rsid w:val="00336143"/>
    <w:rsid w:val="003E139E"/>
    <w:rsid w:val="005B519B"/>
    <w:rsid w:val="00676BA1"/>
    <w:rsid w:val="006F41D1"/>
    <w:rsid w:val="00812131"/>
    <w:rsid w:val="008270AA"/>
    <w:rsid w:val="009117F5"/>
    <w:rsid w:val="009E260F"/>
    <w:rsid w:val="00B5732F"/>
    <w:rsid w:val="00C21D4B"/>
    <w:rsid w:val="00D63B44"/>
    <w:rsid w:val="00ED1B0D"/>
    <w:rsid w:val="00F16237"/>
    <w:rsid w:val="00F72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632E6"/>
  <w15:chartTrackingRefBased/>
  <w15:docId w15:val="{4D3609EC-18AE-4707-85AF-A09AE1C5B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B0D"/>
  </w:style>
  <w:style w:type="paragraph" w:styleId="Footer">
    <w:name w:val="footer"/>
    <w:basedOn w:val="Normal"/>
    <w:link w:val="FooterChar"/>
    <w:uiPriority w:val="99"/>
    <w:unhideWhenUsed/>
    <w:rsid w:val="00ED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B0D"/>
  </w:style>
  <w:style w:type="character" w:styleId="Hyperlink">
    <w:name w:val="Hyperlink"/>
    <w:basedOn w:val="DefaultParagraphFont"/>
    <w:uiPriority w:val="99"/>
    <w:semiHidden/>
    <w:unhideWhenUsed/>
    <w:rsid w:val="003E13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916421">
      <w:bodyDiv w:val="1"/>
      <w:marLeft w:val="0"/>
      <w:marRight w:val="0"/>
      <w:marTop w:val="0"/>
      <w:marBottom w:val="0"/>
      <w:divBdr>
        <w:top w:val="none" w:sz="0" w:space="0" w:color="auto"/>
        <w:left w:val="none" w:sz="0" w:space="0" w:color="auto"/>
        <w:bottom w:val="none" w:sz="0" w:space="0" w:color="auto"/>
        <w:right w:val="none" w:sz="0" w:space="0" w:color="auto"/>
      </w:divBdr>
    </w:div>
    <w:div w:id="89863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osha.gov/pls/oshaweb/owadisp.show_document?p_table=STANDARDS&amp;p_id=10663" TargetMode="External"/><Relationship Id="rId26" Type="http://schemas.openxmlformats.org/officeDocument/2006/relationships/hyperlink" Target="https://www.osha.gov/pls/oshaweb/owadisp.show_document?p_table=STANDARDS&amp;p_id=10752" TargetMode="External"/><Relationship Id="rId3" Type="http://schemas.openxmlformats.org/officeDocument/2006/relationships/settings" Target="settings.xml"/><Relationship Id="rId21" Type="http://schemas.openxmlformats.org/officeDocument/2006/relationships/hyperlink" Target="https://www.osha.gov/pls/oshaweb/owastand.display_standard_group?p_toc_level=1&amp;p_part_number=1926"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osha.gov/pls/oshaweb/owadisp.show_document?p_table=STANDARDS&amp;p_id=10663" TargetMode="External"/><Relationship Id="rId25" Type="http://schemas.openxmlformats.org/officeDocument/2006/relationships/hyperlink" Target="https://www.osha.gov/pls/oshaweb/owadisp.show_document?p_table=STANDARDS&amp;p_id=10752" TargetMode="External"/><Relationship Id="rId2" Type="http://schemas.openxmlformats.org/officeDocument/2006/relationships/styles" Target="styles.xml"/><Relationship Id="rId16" Type="http://schemas.openxmlformats.org/officeDocument/2006/relationships/hyperlink" Target="https://www.osha.gov/pls/oshaweb/owastand.display_standard_group?p_toc_level=1&amp;p_part_number=1926" TargetMode="External"/><Relationship Id="rId20" Type="http://schemas.openxmlformats.org/officeDocument/2006/relationships/hyperlink" Target="https://www.osha.gov/pls/oshaweb/owadisp.show_document?p_table=STANDARDS&amp;p_id=10665"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osha.gov/pls/oshaweb/owastand.display_standard_group?p_toc_level=1&amp;p_part_number=1926" TargetMode="External"/><Relationship Id="rId5" Type="http://schemas.openxmlformats.org/officeDocument/2006/relationships/footnotes" Target="footnotes.xml"/><Relationship Id="rId15" Type="http://schemas.openxmlformats.org/officeDocument/2006/relationships/image" Target="cid:image001.png@01D713F5.0DBD6430" TargetMode="External"/><Relationship Id="rId23" Type="http://schemas.openxmlformats.org/officeDocument/2006/relationships/hyperlink" Target="https://www.osha.gov/pls/oshaweb/owadisp.show_document?p_table=STANDARDS&amp;p_id=10685" TargetMode="External"/><Relationship Id="rId28" Type="http://schemas.openxmlformats.org/officeDocument/2006/relationships/hyperlink" Target="https://www.osha.gov/pls/oshaweb/owadisp.show_document?p_table=STANDARDS&amp;p_id=97" TargetMode="External"/><Relationship Id="rId10" Type="http://schemas.openxmlformats.org/officeDocument/2006/relationships/image" Target="media/image4.png"/><Relationship Id="rId19" Type="http://schemas.openxmlformats.org/officeDocument/2006/relationships/hyperlink" Target="https://www.osha.gov/pls/oshaweb/owadisp.show_document?p_table=STANDARDS&amp;p_id=10665"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hyperlink" Target="https://www.osha.gov/pls/oshaweb/owadisp.show_document?p_table=STANDARDS&amp;p_id=10685" TargetMode="External"/><Relationship Id="rId27" Type="http://schemas.openxmlformats.org/officeDocument/2006/relationships/hyperlink" Target="https://www.osha.gov/pls/oshaweb/owadisp.show_document?p_table=STANDARDS&amp;p_id=14212"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7</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Dalton, Bob</dc:creator>
  <cp:keywords/>
  <dc:description/>
  <cp:lastModifiedBy>Dalton, Bob</cp:lastModifiedBy>
  <cp:revision>18</cp:revision>
  <dcterms:created xsi:type="dcterms:W3CDTF">2022-01-12T15:01:00Z</dcterms:created>
  <dcterms:modified xsi:type="dcterms:W3CDTF">2022-01-24T17:51:00Z</dcterms:modified>
</cp:coreProperties>
</file>