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color w:val="ffffff"/>
          <w:sz w:val="56"/>
          <w:szCs w:val="56"/>
          <w:u w:color="ffffff"/>
        </w:rPr>
      </w:pPr>
    </w:p>
    <w:p>
      <w:pPr>
        <w:pStyle w:val="Body"/>
        <w:rPr>
          <w:rFonts w:ascii="Arial" w:cs="Arial" w:hAnsi="Arial" w:eastAsia="Arial"/>
          <w:b w:val="1"/>
          <w:bCs w:val="1"/>
          <w:color w:val="ffffff"/>
          <w:sz w:val="56"/>
          <w:szCs w:val="56"/>
          <w:u w:color="ffffff"/>
        </w:rPr>
      </w:pPr>
      <w:r>
        <w:drawing>
          <wp:anchor distT="0" distB="0" distL="0" distR="0" simplePos="0" relativeHeight="251657216" behindDoc="1" locked="0" layoutInCell="1" allowOverlap="1">
            <wp:simplePos x="0" y="0"/>
            <wp:positionH relativeFrom="column">
              <wp:posOffset>-431800</wp:posOffset>
            </wp:positionH>
            <wp:positionV relativeFrom="line">
              <wp:posOffset>-512445</wp:posOffset>
            </wp:positionV>
            <wp:extent cx="7569200" cy="2196465"/>
            <wp:effectExtent l="0" t="0" r="0" b="0"/>
            <wp:wrapNone/>
            <wp:docPr id="1073741826" name="officeArt object" descr="Blue Header"/>
            <wp:cNvGraphicFramePr/>
            <a:graphic xmlns:a="http://schemas.openxmlformats.org/drawingml/2006/main">
              <a:graphicData uri="http://schemas.openxmlformats.org/drawingml/2006/picture">
                <pic:pic xmlns:pic="http://schemas.openxmlformats.org/drawingml/2006/picture">
                  <pic:nvPicPr>
                    <pic:cNvPr id="1073741826" name="image1.jpg" descr="Blue Header"/>
                    <pic:cNvPicPr>
                      <a:picLocks noChangeAspect="1"/>
                    </pic:cNvPicPr>
                  </pic:nvPicPr>
                  <pic:blipFill>
                    <a:blip r:embed="rId4">
                      <a:extLst/>
                    </a:blip>
                    <a:stretch>
                      <a:fillRect/>
                    </a:stretch>
                  </pic:blipFill>
                  <pic:spPr>
                    <a:xfrm>
                      <a:off x="0" y="0"/>
                      <a:ext cx="7569200" cy="2196465"/>
                    </a:xfrm>
                    <a:prstGeom prst="rect">
                      <a:avLst/>
                    </a:prstGeom>
                    <a:ln w="12700" cap="flat">
                      <a:noFill/>
                      <a:miter lim="400000"/>
                    </a:ln>
                    <a:effectLst/>
                  </pic:spPr>
                </pic:pic>
              </a:graphicData>
            </a:graphic>
          </wp:anchor>
        </w:drawing>
      </w:r>
      <w:r>
        <w:rPr>
          <w:rFonts w:ascii="Arial" w:hAnsi="Arial"/>
          <w:b w:val="1"/>
          <w:bCs w:val="1"/>
          <w:color w:val="ffffff"/>
          <w:sz w:val="56"/>
          <w:szCs w:val="56"/>
          <w:u w:color="ffffff"/>
          <w:rtl w:val="0"/>
          <w:lang w:val="de-DE"/>
        </w:rPr>
        <w:t>HIGHMARK CHIROPRACTIC NETWORK</w:t>
      </w:r>
    </w:p>
    <w:p>
      <w:pPr>
        <w:pStyle w:val="Body"/>
        <w:rPr>
          <w:rFonts w:ascii="Myriad Pro" w:cs="Myriad Pro" w:hAnsi="Myriad Pro" w:eastAsia="Myriad Pro"/>
          <w:color w:val="ffffff"/>
          <w:sz w:val="36"/>
          <w:szCs w:val="36"/>
          <w:u w:color="ffffff"/>
        </w:rPr>
      </w:pPr>
      <w:r>
        <w:rPr>
          <w:rFonts w:ascii="Myriad Pro" w:cs="Myriad Pro" w:hAnsi="Myriad Pro" w:eastAsia="Myriad Pro"/>
          <w:color w:val="ffffff"/>
          <w:sz w:val="36"/>
          <w:szCs w:val="36"/>
          <w:u w:color="ffffff"/>
          <w:rtl w:val="0"/>
          <w:lang w:val="es-ES_tradnl"/>
        </w:rPr>
        <w:t>FREQUENTLY ASKED QUESTIONS</w:t>
      </w:r>
    </w:p>
    <w:p>
      <w:pPr>
        <w:pStyle w:val="Body"/>
      </w:pPr>
    </w:p>
    <w:p>
      <w:pPr>
        <w:pStyle w:val="Body"/>
      </w:pPr>
    </w:p>
    <w:p>
      <w:pPr>
        <w:pStyle w:val="Body"/>
      </w:pPr>
    </w:p>
    <w:p>
      <w:pPr>
        <w:pStyle w:val="Body"/>
      </w:pPr>
    </w:p>
    <w:p>
      <w:pPr>
        <w:pStyle w:val="Body"/>
      </w:pPr>
    </w:p>
    <w:p>
      <w:pPr>
        <w:pStyle w:val="Body"/>
      </w:pPr>
    </w:p>
    <w:p>
      <w:pPr>
        <w:pStyle w:val="Body"/>
        <w:rPr>
          <w:rFonts w:ascii="Arial" w:cs="Arial" w:hAnsi="Arial" w:eastAsia="Arial"/>
          <w:b w:val="1"/>
          <w:bCs w:val="1"/>
          <w:sz w:val="36"/>
          <w:szCs w:val="36"/>
        </w:rPr>
      </w:pPr>
      <w:r>
        <w:rPr>
          <w:rFonts w:ascii="Arial" w:hAnsi="Arial"/>
          <w:b w:val="1"/>
          <w:bCs w:val="1"/>
          <w:sz w:val="36"/>
          <w:szCs w:val="36"/>
          <w:rtl w:val="0"/>
          <w:lang w:val="de-DE"/>
        </w:rPr>
        <w:t xml:space="preserve"> HIGHMARK CHIROPRACTIC NETWORK PROVIDER QUESTIONS</w:t>
      </w:r>
    </w:p>
    <w:p>
      <w:pPr>
        <w:pStyle w:val="Body"/>
        <w:rPr>
          <w:rFonts w:ascii="Arial" w:cs="Arial" w:hAnsi="Arial" w:eastAsia="Arial"/>
          <w:b w:val="1"/>
          <w:bCs w:val="1"/>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295" w:hRule="atLeast"/>
        </w:trPr>
        <w:tc>
          <w:tcPr>
            <w:tcW w:type="dxa" w:w="7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5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Why has Highmark chosen to implement the Chiropractic Network?</w:t>
            </w:r>
            <w:r>
              <w:rPr>
                <w:rFonts w:ascii="Myriad Pro" w:cs="Myriad Pro" w:hAnsi="Myriad Pro" w:eastAsia="Myriad Pro"/>
                <w:b w:val="1"/>
                <w:bCs w:val="1"/>
              </w:rPr>
            </w:r>
          </w:p>
        </w:tc>
      </w:tr>
      <w:tr>
        <w:tblPrEx>
          <w:shd w:val="clear" w:color="auto" w:fill="ced7e7"/>
        </w:tblPrEx>
        <w:trPr>
          <w:trHeight w:val="1405"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 xml:space="preserve">A: </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rtl w:val="0"/>
                <w:lang w:val="en-US"/>
              </w:rPr>
              <w:t>Our customers are demanding that we offer products that emphasize high-quality medical care and greater value for their health care dollar. To meet this objective, Highmark is developing a high-performing network made up of selected participating doctors of chiropractic medicine. The Chiropractic Network will support certain Highmark 2020 product offerings.</w:t>
            </w:r>
            <w:r>
              <w:rPr>
                <w:rFonts w:ascii="Myriad Pro" w:cs="Myriad Pro" w:hAnsi="Myriad Pro" w:eastAsia="Myriad Pro"/>
              </w:rPr>
            </w:r>
          </w:p>
        </w:tc>
      </w:tr>
    </w:tbl>
    <w:p>
      <w:pPr>
        <w:pStyle w:val="Body"/>
        <w:widowControl w:val="0"/>
        <w:ind w:left="198" w:hanging="198"/>
        <w:rPr>
          <w:rFonts w:ascii="Arial" w:cs="Arial" w:hAnsi="Arial" w:eastAsia="Arial"/>
          <w:b w:val="1"/>
          <w:bCs w:val="1"/>
        </w:rPr>
      </w:pPr>
    </w:p>
    <w:p>
      <w:pPr>
        <w:pStyle w:val="Body"/>
        <w:spacing w:line="240" w:lineRule="atLeast"/>
        <w:rPr>
          <w:rFonts w:ascii="Myriad Pro" w:cs="Myriad Pro" w:hAnsi="Myriad Pro" w:eastAsia="Myriad Pro"/>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56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What metrics were used to evaluate the participating doctors of chiropractic medicine?</w:t>
            </w:r>
            <w:r>
              <w:rPr>
                <w:rFonts w:ascii="Myriad Pro" w:cs="Myriad Pro" w:hAnsi="Myriad Pro" w:eastAsia="Myriad Pro"/>
                <w:b w:val="1"/>
                <w:bCs w:val="1"/>
              </w:rPr>
            </w:r>
          </w:p>
        </w:tc>
      </w:tr>
      <w:tr>
        <w:tblPrEx>
          <w:shd w:val="clear" w:color="auto" w:fill="ced7e7"/>
        </w:tblPrEx>
        <w:trPr>
          <w:trHeight w:val="5054"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 xml:space="preserve">A: </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 (Web)"/>
              <w:spacing w:before="0" w:after="0"/>
            </w:pPr>
            <w:r>
              <w:rPr>
                <w:rFonts w:ascii="Myriad Pro" w:cs="Myriad Pro" w:hAnsi="Myriad Pro" w:eastAsia="Myriad Pro"/>
                <w:rtl w:val="0"/>
                <w:lang w:val="en-US"/>
              </w:rPr>
              <w:t xml:space="preserve">Highmark used metrics that have been tracked as part of our Physical Medicine Utilization Management program and reported to Highmark participating providers for the past five years. Scorecards are sent semi-annually to participating providers to notify them of their results. Highmark used the following metrics to score the participating doctors of chiropractic medicine. </w:t>
            </w:r>
            <w:r>
              <w:rPr>
                <w:rFonts w:ascii="Gill Sans SemiBold" w:cs="Myriad Pro" w:hAnsi="Gill Sans SemiBold" w:eastAsia="Myriad Pro"/>
                <w:rtl w:val="0"/>
                <w:lang w:val="en-US"/>
              </w:rPr>
              <w:t>Note:</w:t>
            </w:r>
            <w:r>
              <w:rPr>
                <w:rFonts w:ascii="Myriad Pro" w:cs="Myriad Pro" w:hAnsi="Myriad Pro" w:eastAsia="Myriad Pro"/>
                <w:rtl w:val="0"/>
                <w:lang w:val="en-US"/>
              </w:rPr>
              <w:t xml:space="preserve"> The weight assigned to each metric is shown within parentheses.</w:t>
            </w:r>
          </w:p>
          <w:p>
            <w:pPr>
              <w:pStyle w:val="Normal (Web)"/>
              <w:spacing w:before="0" w:after="0"/>
              <w:ind w:firstLine="360"/>
            </w:pPr>
          </w:p>
          <w:p>
            <w:pPr>
              <w:pStyle w:val="Normal (Web)"/>
              <w:bidi w:val="0"/>
              <w:spacing w:before="0" w:after="0"/>
              <w:ind w:left="0" w:right="0" w:firstLine="0"/>
              <w:jc w:val="left"/>
              <w:rPr>
                <w:rtl w:val="0"/>
              </w:rPr>
            </w:pPr>
            <w:r>
              <w:rPr>
                <w:rFonts w:ascii="Gill Sans SemiBold" w:cs="Myriad Pro" w:hAnsi="Gill Sans SemiBold" w:eastAsia="Myriad Pro"/>
                <w:color w:val="3b4145"/>
                <w:kern w:val="24"/>
                <w:u w:color="3b4145"/>
                <w:rtl w:val="0"/>
                <w:lang w:val="en-US"/>
              </w:rPr>
              <w:t xml:space="preserve">Chiropractic metrics (weighting percent in parentheses): </w:t>
            </w:r>
            <w:r>
              <w:rPr>
                <w:rFonts w:ascii="Myriad Pro" w:cs="Myriad Pro" w:hAnsi="Myriad Pro" w:eastAsia="Myriad Pro"/>
                <w:color w:val="3b4145"/>
                <w:kern w:val="24"/>
                <w:u w:color="3b4145"/>
                <w:rtl w:val="0"/>
                <w:lang w:val="en-US"/>
              </w:rPr>
              <w:t xml:space="preserve"> </w:t>
            </w:r>
          </w:p>
          <w:p>
            <w:pPr>
              <w:pStyle w:val="List Paragraph"/>
              <w:numPr>
                <w:ilvl w:val="0"/>
                <w:numId w:val="1"/>
              </w:numPr>
              <w:bidi w:val="0"/>
              <w:ind w:right="0"/>
              <w:jc w:val="left"/>
              <w:rPr>
                <w:rFonts w:ascii="Myriad Pro" w:cs="Myriad Pro" w:hAnsi="Myriad Pro" w:eastAsia="Myriad Pro"/>
                <w:sz w:val="24"/>
                <w:szCs w:val="24"/>
                <w:rtl w:val="0"/>
                <w:lang w:val="en-US"/>
              </w:rPr>
            </w:pPr>
            <w:r>
              <w:rPr>
                <w:rFonts w:ascii="Myriad Pro" w:cs="Myriad Pro" w:hAnsi="Myriad Pro" w:eastAsia="Myriad Pro"/>
                <w:color w:val="3b4145"/>
                <w:kern w:val="24"/>
                <w:sz w:val="24"/>
                <w:szCs w:val="24"/>
                <w:u w:color="3b4145"/>
                <w:rtl w:val="0"/>
                <w:lang w:val="en-US"/>
              </w:rPr>
              <w:t xml:space="preserve">Average visits per member </w:t>
            </w:r>
            <w:r>
              <w:rPr>
                <w:rFonts w:ascii="Myriad Pro" w:cs="Myriad Pro" w:hAnsi="Myriad Pro" w:eastAsia="Myriad Pro"/>
                <w:color w:val="3b4145"/>
                <w:kern w:val="24"/>
                <w:sz w:val="24"/>
                <w:szCs w:val="24"/>
                <w:u w:color="3b4145"/>
                <w:rtl w:val="0"/>
                <w:lang w:val="en-US"/>
              </w:rPr>
              <w:t xml:space="preserve">≤ </w:t>
            </w:r>
            <w:r>
              <w:rPr>
                <w:rFonts w:ascii="Myriad Pro" w:cs="Myriad Pro" w:hAnsi="Myriad Pro" w:eastAsia="Myriad Pro"/>
                <w:color w:val="3b4145"/>
                <w:kern w:val="24"/>
                <w:sz w:val="24"/>
                <w:szCs w:val="24"/>
                <w:u w:color="3b4145"/>
                <w:rtl w:val="0"/>
                <w:lang w:val="en-US"/>
              </w:rPr>
              <w:t xml:space="preserve">8 </w:t>
            </w:r>
            <w:r>
              <w:rPr>
                <w:rFonts w:ascii="Gill Sans SemiBold" w:cs="Myriad Pro" w:hAnsi="Gill Sans SemiBold" w:eastAsia="Myriad Pro"/>
                <w:color w:val="3b4145"/>
                <w:kern w:val="24"/>
                <w:sz w:val="24"/>
                <w:szCs w:val="24"/>
                <w:u w:color="3b4145"/>
                <w:rtl w:val="0"/>
                <w:lang w:val="en-US"/>
              </w:rPr>
              <w:t>(5%)</w:t>
            </w:r>
          </w:p>
          <w:p>
            <w:pPr>
              <w:pStyle w:val="List Paragraph"/>
              <w:numPr>
                <w:ilvl w:val="0"/>
                <w:numId w:val="1"/>
              </w:numPr>
              <w:bidi w:val="0"/>
              <w:ind w:right="0"/>
              <w:jc w:val="left"/>
              <w:rPr>
                <w:rFonts w:ascii="Myriad Pro" w:cs="Myriad Pro" w:hAnsi="Myriad Pro" w:eastAsia="Myriad Pro"/>
                <w:b w:val="1"/>
                <w:bCs w:val="1"/>
                <w:sz w:val="24"/>
                <w:szCs w:val="24"/>
                <w:rtl w:val="0"/>
                <w:lang w:val="en-US"/>
              </w:rPr>
            </w:pPr>
            <w:r>
              <w:rPr>
                <w:rFonts w:ascii="Gill Sans Light" w:cs="Myriad Pro" w:hAnsi="Gill Sans Light" w:eastAsia="Myriad Pro"/>
                <w:b w:val="1"/>
                <w:bCs w:val="1"/>
                <w:color w:val="3b4145"/>
                <w:kern w:val="24"/>
                <w:sz w:val="24"/>
                <w:szCs w:val="24"/>
                <w:u w:color="3b4145"/>
                <w:rtl w:val="0"/>
                <w:lang w:val="en-US"/>
              </w:rPr>
              <w:t xml:space="preserve">Average procedures performed or units per visit </w:t>
            </w:r>
            <w:r>
              <w:rPr>
                <w:rFonts w:ascii="Gill Sans Light" w:cs="Myriad Pro" w:hAnsi="Gill Sans Light" w:eastAsia="Myriad Pro" w:hint="default"/>
                <w:b w:val="1"/>
                <w:bCs w:val="1"/>
                <w:color w:val="3b4145"/>
                <w:kern w:val="24"/>
                <w:sz w:val="24"/>
                <w:szCs w:val="24"/>
                <w:u w:color="3b4145"/>
                <w:rtl w:val="0"/>
                <w:lang w:val="en-US"/>
              </w:rPr>
              <w:t xml:space="preserve">≤ </w:t>
            </w:r>
            <w:r>
              <w:rPr>
                <w:rFonts w:ascii="Gill Sans Light" w:cs="Myriad Pro" w:hAnsi="Gill Sans Light" w:eastAsia="Myriad Pro"/>
                <w:b w:val="1"/>
                <w:bCs w:val="1"/>
                <w:color w:val="3b4145"/>
                <w:kern w:val="24"/>
                <w:sz w:val="24"/>
                <w:szCs w:val="24"/>
                <w:u w:color="3b4145"/>
                <w:rtl w:val="0"/>
                <w:lang w:val="en-US"/>
              </w:rPr>
              <w:t xml:space="preserve">4 </w:t>
            </w:r>
            <w:r>
              <w:rPr>
                <w:rFonts w:ascii="Myriad Pro" w:cs="Myriad Pro" w:hAnsi="Myriad Pro" w:eastAsia="Myriad Pro"/>
                <w:b w:val="1"/>
                <w:bCs w:val="1"/>
                <w:color w:val="3b4145"/>
                <w:kern w:val="24"/>
                <w:sz w:val="24"/>
                <w:szCs w:val="24"/>
                <w:u w:color="3b4145"/>
                <w:rtl w:val="0"/>
                <w:lang w:val="en-US"/>
              </w:rPr>
              <w:t>(20%)</w:t>
            </w:r>
          </w:p>
          <w:p>
            <w:pPr>
              <w:pStyle w:val="List Paragraph"/>
              <w:numPr>
                <w:ilvl w:val="0"/>
                <w:numId w:val="1"/>
              </w:numPr>
              <w:bidi w:val="0"/>
              <w:ind w:right="0"/>
              <w:jc w:val="left"/>
              <w:rPr>
                <w:rFonts w:ascii="Myriad Pro" w:cs="Myriad Pro" w:hAnsi="Myriad Pro" w:eastAsia="Myriad Pro"/>
                <w:sz w:val="24"/>
                <w:szCs w:val="24"/>
                <w:rtl w:val="0"/>
                <w:lang w:val="en-US"/>
              </w:rPr>
            </w:pPr>
            <w:r>
              <w:rPr>
                <w:rFonts w:ascii="Myriad Pro" w:cs="Myriad Pro" w:hAnsi="Myriad Pro" w:eastAsia="Myriad Pro"/>
                <w:color w:val="3b4145"/>
                <w:kern w:val="24"/>
                <w:sz w:val="24"/>
                <w:szCs w:val="24"/>
                <w:u w:color="3b4145"/>
                <w:rtl w:val="0"/>
                <w:lang w:val="en-US"/>
              </w:rPr>
              <w:t xml:space="preserve">Total care registration and authorization requests completed </w:t>
            </w:r>
            <w:r>
              <w:rPr>
                <w:rFonts w:ascii="Myriad Pro" w:cs="Myriad Pro" w:hAnsi="Myriad Pro" w:eastAsia="Myriad Pro"/>
                <w:color w:val="3b4145"/>
                <w:kern w:val="24"/>
                <w:sz w:val="24"/>
                <w:szCs w:val="24"/>
                <w:u w:color="3b4145"/>
                <w:rtl w:val="0"/>
                <w:lang w:val="en-US"/>
              </w:rPr>
              <w:t xml:space="preserve">≥ </w:t>
            </w:r>
            <w:r>
              <w:rPr>
                <w:rFonts w:ascii="Myriad Pro" w:cs="Myriad Pro" w:hAnsi="Myriad Pro" w:eastAsia="Myriad Pro"/>
                <w:color w:val="3b4145"/>
                <w:kern w:val="24"/>
                <w:sz w:val="24"/>
                <w:szCs w:val="24"/>
                <w:u w:color="3b4145"/>
                <w:rtl w:val="0"/>
                <w:lang w:val="en-US"/>
              </w:rPr>
              <w:t xml:space="preserve">20 </w:t>
            </w:r>
            <w:r>
              <w:rPr>
                <w:rFonts w:ascii="Gill Sans SemiBold" w:cs="Myriad Pro" w:hAnsi="Gill Sans SemiBold" w:eastAsia="Myriad Pro"/>
                <w:color w:val="3b4145"/>
                <w:kern w:val="24"/>
                <w:sz w:val="24"/>
                <w:szCs w:val="24"/>
                <w:u w:color="3b4145"/>
                <w:rtl w:val="0"/>
                <w:lang w:val="en-US"/>
              </w:rPr>
              <w:t>(0%)</w:t>
            </w:r>
          </w:p>
          <w:p>
            <w:pPr>
              <w:pStyle w:val="List Paragraph"/>
              <w:numPr>
                <w:ilvl w:val="0"/>
                <w:numId w:val="1"/>
              </w:numPr>
              <w:bidi w:val="0"/>
              <w:ind w:right="0"/>
              <w:jc w:val="left"/>
              <w:rPr>
                <w:rFonts w:ascii="Myriad Pro" w:cs="Myriad Pro" w:hAnsi="Myriad Pro" w:eastAsia="Myriad Pro"/>
                <w:sz w:val="24"/>
                <w:szCs w:val="24"/>
                <w:rtl w:val="0"/>
                <w:lang w:val="en-US"/>
              </w:rPr>
            </w:pPr>
            <w:r>
              <w:rPr>
                <w:rFonts w:ascii="Myriad Pro" w:cs="Myriad Pro" w:hAnsi="Myriad Pro" w:eastAsia="Myriad Pro"/>
                <w:color w:val="3b4145"/>
                <w:kern w:val="24"/>
                <w:sz w:val="24"/>
                <w:szCs w:val="24"/>
                <w:u w:color="3b4145"/>
                <w:rtl w:val="0"/>
                <w:lang w:val="en-US"/>
              </w:rPr>
              <w:t xml:space="preserve">Care authorizations obtained via NaviNet </w:t>
            </w:r>
            <w:r>
              <w:rPr>
                <w:rFonts w:ascii="Myriad Pro" w:cs="Myriad Pro" w:hAnsi="Myriad Pro" w:eastAsia="Myriad Pro"/>
                <w:color w:val="3b4145"/>
                <w:kern w:val="24"/>
                <w:sz w:val="24"/>
                <w:szCs w:val="24"/>
                <w:u w:color="3b4145"/>
                <w:rtl w:val="0"/>
                <w:lang w:val="en-US"/>
              </w:rPr>
              <w:t xml:space="preserve">≥ </w:t>
            </w:r>
            <w:r>
              <w:rPr>
                <w:rFonts w:ascii="Myriad Pro" w:cs="Myriad Pro" w:hAnsi="Myriad Pro" w:eastAsia="Myriad Pro"/>
                <w:color w:val="3b4145"/>
                <w:kern w:val="24"/>
                <w:sz w:val="24"/>
                <w:szCs w:val="24"/>
                <w:u w:color="3b4145"/>
                <w:rtl w:val="0"/>
                <w:lang w:val="en-US"/>
              </w:rPr>
              <w:t xml:space="preserve">90% </w:t>
            </w:r>
            <w:r>
              <w:rPr>
                <w:rFonts w:ascii="Gill Sans SemiBold" w:cs="Myriad Pro" w:hAnsi="Gill Sans SemiBold" w:eastAsia="Myriad Pro"/>
                <w:color w:val="3b4145"/>
                <w:kern w:val="24"/>
                <w:sz w:val="24"/>
                <w:szCs w:val="24"/>
                <w:u w:color="3b4145"/>
                <w:rtl w:val="0"/>
                <w:lang w:val="en-US"/>
              </w:rPr>
              <w:t>(25%)</w:t>
            </w:r>
          </w:p>
          <w:p>
            <w:pPr>
              <w:pStyle w:val="List Paragraph"/>
              <w:numPr>
                <w:ilvl w:val="0"/>
                <w:numId w:val="1"/>
              </w:numPr>
              <w:bidi w:val="0"/>
              <w:ind w:right="0"/>
              <w:jc w:val="left"/>
              <w:rPr>
                <w:rFonts w:ascii="Myriad Pro" w:cs="Myriad Pro" w:hAnsi="Myriad Pro" w:eastAsia="Myriad Pro"/>
                <w:sz w:val="24"/>
                <w:szCs w:val="24"/>
                <w:rtl w:val="0"/>
                <w:lang w:val="en-US"/>
              </w:rPr>
            </w:pPr>
            <w:r>
              <w:rPr>
                <w:rFonts w:ascii="Myriad Pro" w:cs="Myriad Pro" w:hAnsi="Myriad Pro" w:eastAsia="Myriad Pro"/>
                <w:color w:val="3b4145"/>
                <w:kern w:val="24"/>
                <w:sz w:val="24"/>
                <w:szCs w:val="24"/>
                <w:u w:color="3b4145"/>
                <w:rtl w:val="0"/>
                <w:lang w:val="en-US"/>
              </w:rPr>
              <w:t xml:space="preserve">Authorization request approval rate </w:t>
            </w:r>
            <w:r>
              <w:rPr>
                <w:rFonts w:ascii="Myriad Pro" w:cs="Myriad Pro" w:hAnsi="Myriad Pro" w:eastAsia="Myriad Pro"/>
                <w:color w:val="3b4145"/>
                <w:kern w:val="24"/>
                <w:sz w:val="24"/>
                <w:szCs w:val="24"/>
                <w:u w:color="3b4145"/>
                <w:rtl w:val="0"/>
                <w:lang w:val="en-US"/>
              </w:rPr>
              <w:t xml:space="preserve">≥ </w:t>
            </w:r>
            <w:r>
              <w:rPr>
                <w:rFonts w:ascii="Myriad Pro" w:cs="Myriad Pro" w:hAnsi="Myriad Pro" w:eastAsia="Myriad Pro"/>
                <w:color w:val="3b4145"/>
                <w:kern w:val="24"/>
                <w:sz w:val="24"/>
                <w:szCs w:val="24"/>
                <w:u w:color="3b4145"/>
                <w:rtl w:val="0"/>
                <w:lang w:val="en-US"/>
              </w:rPr>
              <w:t xml:space="preserve">94% </w:t>
            </w:r>
            <w:r>
              <w:rPr>
                <w:rFonts w:ascii="Gill Sans SemiBold" w:cs="Myriad Pro" w:hAnsi="Gill Sans SemiBold" w:eastAsia="Myriad Pro"/>
                <w:color w:val="3b4145"/>
                <w:kern w:val="24"/>
                <w:sz w:val="24"/>
                <w:szCs w:val="24"/>
                <w:u w:color="3b4145"/>
                <w:rtl w:val="0"/>
                <w:lang w:val="en-US"/>
              </w:rPr>
              <w:t>(25%)</w:t>
            </w:r>
          </w:p>
          <w:p>
            <w:pPr>
              <w:pStyle w:val="List Paragraph"/>
              <w:numPr>
                <w:ilvl w:val="0"/>
                <w:numId w:val="1"/>
              </w:numPr>
              <w:bidi w:val="0"/>
              <w:spacing w:after="0"/>
              <w:ind w:right="0"/>
              <w:jc w:val="left"/>
              <w:rPr>
                <w:rFonts w:ascii="Myriad Pro" w:cs="Myriad Pro" w:hAnsi="Myriad Pro" w:eastAsia="Myriad Pro"/>
                <w:sz w:val="24"/>
                <w:szCs w:val="24"/>
                <w:rtl w:val="0"/>
                <w:lang w:val="en-US"/>
              </w:rPr>
            </w:pPr>
            <w:r>
              <w:rPr>
                <w:rFonts w:ascii="Myriad Pro" w:cs="Myriad Pro" w:hAnsi="Myriad Pro" w:eastAsia="Myriad Pro"/>
                <w:color w:val="3b4145"/>
                <w:kern w:val="24"/>
                <w:sz w:val="24"/>
                <w:szCs w:val="24"/>
                <w:u w:color="3b4145"/>
                <w:rtl w:val="0"/>
                <w:lang w:val="en-US"/>
              </w:rPr>
              <w:t xml:space="preserve">Requested visit approval rate </w:t>
            </w:r>
            <w:r>
              <w:rPr>
                <w:rFonts w:ascii="Myriad Pro" w:cs="Myriad Pro" w:hAnsi="Myriad Pro" w:eastAsia="Myriad Pro"/>
                <w:color w:val="3b4145"/>
                <w:kern w:val="24"/>
                <w:sz w:val="24"/>
                <w:szCs w:val="24"/>
                <w:u w:color="3b4145"/>
                <w:rtl w:val="0"/>
                <w:lang w:val="en-US"/>
              </w:rPr>
              <w:t xml:space="preserve">≥ </w:t>
            </w:r>
            <w:r>
              <w:rPr>
                <w:rFonts w:ascii="Myriad Pro" w:cs="Myriad Pro" w:hAnsi="Myriad Pro" w:eastAsia="Myriad Pro"/>
                <w:color w:val="3b4145"/>
                <w:kern w:val="24"/>
                <w:sz w:val="24"/>
                <w:szCs w:val="24"/>
                <w:u w:color="3b4145"/>
                <w:rtl w:val="0"/>
                <w:lang w:val="en-US"/>
              </w:rPr>
              <w:t xml:space="preserve">94% </w:t>
            </w:r>
            <w:r>
              <w:rPr>
                <w:rFonts w:ascii="Gill Sans SemiBold" w:cs="Myriad Pro" w:hAnsi="Gill Sans SemiBold" w:eastAsia="Myriad Pro"/>
                <w:color w:val="3b4145"/>
                <w:kern w:val="24"/>
                <w:sz w:val="24"/>
                <w:szCs w:val="24"/>
                <w:u w:color="3b4145"/>
                <w:rtl w:val="0"/>
                <w:lang w:val="en-US"/>
              </w:rPr>
              <w:t>(25%)</w:t>
            </w:r>
            <w:r>
              <w:rPr>
                <w:rFonts w:ascii="Myriad Pro" w:cs="Myriad Pro" w:hAnsi="Myriad Pro" w:eastAsia="Myriad Pro"/>
                <w:sz w:val="24"/>
                <w:szCs w:val="24"/>
              </w:rPr>
            </w:r>
          </w:p>
        </w:tc>
      </w:tr>
    </w:tbl>
    <w:p>
      <w:pPr>
        <w:pStyle w:val="Body"/>
        <w:widowControl w:val="0"/>
        <w:ind w:left="198" w:hanging="198"/>
        <w:rPr>
          <w:rFonts w:ascii="Myriad Pro" w:cs="Myriad Pro" w:hAnsi="Myriad Pro" w:eastAsia="Myriad Pro"/>
        </w:rPr>
      </w:pPr>
    </w:p>
    <w:p>
      <w:pPr>
        <w:pStyle w:val="Body"/>
        <w:spacing w:line="240" w:lineRule="atLeast"/>
        <w:rPr>
          <w:rFonts w:ascii="Myriad Pro" w:cs="Myriad Pro" w:hAnsi="Myriad Pro" w:eastAsia="Myriad Pro"/>
        </w:rPr>
      </w:pPr>
    </w:p>
    <w:p>
      <w:pPr>
        <w:pStyle w:val="Body"/>
        <w:spacing w:line="240" w:lineRule="atLeast"/>
        <w:rPr>
          <w:rFonts w:ascii="Myriad Pro" w:cs="Myriad Pro" w:hAnsi="Myriad Pro" w:eastAsia="Myriad Pro"/>
        </w:rPr>
      </w:pPr>
    </w:p>
    <w:p>
      <w:pPr>
        <w:pStyle w:val="Body"/>
        <w:spacing w:line="240" w:lineRule="atLeast"/>
        <w:rPr>
          <w:rFonts w:ascii="Myriad Pro" w:cs="Myriad Pro" w:hAnsi="Myriad Pro" w:eastAsia="Myriad Pro"/>
        </w:rPr>
      </w:pPr>
    </w:p>
    <w:p>
      <w:pPr>
        <w:pStyle w:val="Body"/>
        <w:spacing w:line="240" w:lineRule="atLeast"/>
        <w:rPr>
          <w:rFonts w:ascii="Myriad Pro" w:cs="Myriad Pro" w:hAnsi="Myriad Pro" w:eastAsia="Myriad Pro"/>
        </w:rPr>
      </w:pPr>
    </w:p>
    <w:p>
      <w:pPr>
        <w:pStyle w:val="Body"/>
        <w:spacing w:line="240" w:lineRule="atLeast"/>
        <w:rPr>
          <w:rFonts w:ascii="Myriad Pro" w:cs="Myriad Pro" w:hAnsi="Myriad Pro" w:eastAsia="Myriad Pro"/>
        </w:rPr>
      </w:pPr>
    </w:p>
    <w:p>
      <w:pPr>
        <w:pStyle w:val="Body"/>
        <w:spacing w:line="240" w:lineRule="atLeast"/>
        <w:rPr>
          <w:rFonts w:ascii="Myriad Pro" w:cs="Myriad Pro" w:hAnsi="Myriad Pro" w:eastAsia="Myriad Pro"/>
        </w:rPr>
      </w:pPr>
    </w:p>
    <w:p>
      <w:pPr>
        <w:pStyle w:val="Body"/>
        <w:spacing w:line="240" w:lineRule="atLeast"/>
        <w:rPr>
          <w:rFonts w:ascii="Myriad Pro" w:cs="Myriad Pro" w:hAnsi="Myriad Pro" w:eastAsia="Myriad Pro"/>
        </w:rPr>
      </w:pPr>
    </w:p>
    <w:p>
      <w:pPr>
        <w:pStyle w:val="Body"/>
        <w:spacing w:line="240" w:lineRule="atLeast"/>
        <w:rPr>
          <w:rFonts w:ascii="Myriad Pro" w:cs="Myriad Pro" w:hAnsi="Myriad Pro" w:eastAsia="Myriad Pro"/>
        </w:rPr>
      </w:pPr>
    </w:p>
    <w:p>
      <w:pPr>
        <w:pStyle w:val="Body"/>
        <w:spacing w:line="240" w:lineRule="atLeast"/>
        <w:rPr>
          <w:rFonts w:ascii="Myriad Pro" w:cs="Myriad Pro" w:hAnsi="Myriad Pro" w:eastAsia="Myriad Pro"/>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295" w:hRule="atLeast"/>
        </w:trPr>
        <w:tc>
          <w:tcPr>
            <w:tcW w:type="dxa" w:w="7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5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200" w:line="240" w:lineRule="auto"/>
              <w:ind w:left="0" w:firstLine="0"/>
            </w:pPr>
            <w:r>
              <w:rPr>
                <w:rFonts w:ascii="Myriad Pro" w:cs="Myriad Pro" w:hAnsi="Myriad Pro" w:eastAsia="Myriad Pro"/>
                <w:b w:val="1"/>
                <w:bCs w:val="1"/>
                <w:sz w:val="24"/>
                <w:szCs w:val="24"/>
                <w:rtl w:val="0"/>
                <w:lang w:val="en-US"/>
              </w:rPr>
              <w:t>Which products use the Chiropractic Network?</w:t>
            </w:r>
          </w:p>
        </w:tc>
      </w:tr>
      <w:tr>
        <w:tblPrEx>
          <w:shd w:val="clear" w:color="auto" w:fill="ced7e7"/>
        </w:tblPrEx>
        <w:trPr>
          <w:trHeight w:val="2925"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 xml:space="preserve">A: </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20"/>
              <w:rPr>
                <w:rFonts w:ascii="Myriad Pro" w:cs="Myriad Pro" w:hAnsi="Myriad Pro" w:eastAsia="Myriad Pro"/>
              </w:rPr>
            </w:pPr>
            <w:r>
              <w:rPr>
                <w:rFonts w:ascii="Myriad Pro" w:cs="Myriad Pro" w:hAnsi="Myriad Pro" w:eastAsia="Myriad Pro"/>
                <w:rtl w:val="0"/>
                <w:lang w:val="en-US"/>
              </w:rPr>
              <w:t>The Chiropractic Network will apply to commercial ACA my Direct Blue products and Medicare Advantage Community Blue. The participating doctors of chiropractic medicine chosen for the Chiropractic Network will be considered in-network providers for products using the Chiropractic Network.</w:t>
            </w:r>
          </w:p>
          <w:p>
            <w:pPr>
              <w:pStyle w:val="Body"/>
              <w:bidi w:val="0"/>
              <w:ind w:left="0" w:right="0" w:firstLine="0"/>
              <w:jc w:val="left"/>
              <w:rPr>
                <w:rtl w:val="0"/>
              </w:rPr>
            </w:pPr>
            <w:r>
              <w:rPr>
                <w:rFonts w:ascii="Myriad Pro" w:cs="Myriad Pro" w:hAnsi="Myriad Pro" w:eastAsia="Myriad Pro"/>
                <w:rtl w:val="0"/>
                <w:lang w:val="en-US"/>
              </w:rPr>
              <w:t>For commercial tiered products, participating providers selected for the Chiropractic Network will be placed in the highest benefit tier. Participating providers not selected for the Chiropractic Network will be placed in a lower benefit tier. In order for members with commercial tiered benefits to have the lowest cost share, they must receive services from providers in the top benefit tier.</w:t>
            </w:r>
            <w:r>
              <w:rPr>
                <w:rFonts w:ascii="Myriad Pro" w:cs="Myriad Pro" w:hAnsi="Myriad Pro" w:eastAsia="Myriad Pro"/>
              </w:rPr>
            </w:r>
          </w:p>
        </w:tc>
      </w:tr>
    </w:tbl>
    <w:p>
      <w:pPr>
        <w:pStyle w:val="Body"/>
        <w:widowControl w:val="0"/>
        <w:ind w:left="198" w:hanging="198"/>
        <w:rPr>
          <w:rFonts w:ascii="Myriad Pro" w:cs="Myriad Pro" w:hAnsi="Myriad Pro" w:eastAsia="Myriad Pro"/>
        </w:rPr>
      </w:pPr>
    </w:p>
    <w:p>
      <w:pPr>
        <w:pStyle w:val="Body"/>
        <w:spacing w:line="240" w:lineRule="atLeast"/>
        <w:rPr>
          <w:rFonts w:ascii="Myriad Pro" w:cs="Myriad Pro" w:hAnsi="Myriad Pro" w:eastAsia="Myriad Pro"/>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56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Are my Highmark patients aware of the implementation of the Chiropractic Network?</w:t>
            </w:r>
            <w:r>
              <w:rPr>
                <w:rFonts w:ascii="Myriad Pro" w:cs="Myriad Pro" w:hAnsi="Myriad Pro" w:eastAsia="Myriad Pro"/>
                <w:b w:val="1"/>
                <w:bCs w:val="1"/>
              </w:rPr>
            </w:r>
          </w:p>
        </w:tc>
      </w:tr>
      <w:tr>
        <w:tblPrEx>
          <w:shd w:val="clear" w:color="auto" w:fill="ced7e7"/>
        </w:tblPrEx>
        <w:trPr>
          <w:trHeight w:val="1153"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 xml:space="preserve">A: </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rtl w:val="0"/>
                <w:lang w:val="en-US"/>
              </w:rPr>
              <w:t>Highmark members in affected products who have claim records indicating that they recently received services from participating providers who will not be in the Chiropractic</w:t>
            </w:r>
            <w:r>
              <w:rPr>
                <w:rFonts w:ascii="Myriad Pro" w:cs="Myriad Pro" w:hAnsi="Myriad Pro" w:eastAsia="Myriad Pro"/>
                <w:b w:val="1"/>
                <w:bCs w:val="1"/>
                <w:rtl w:val="0"/>
                <w:lang w:val="en-US"/>
              </w:rPr>
              <w:t xml:space="preserve"> </w:t>
            </w:r>
            <w:r>
              <w:rPr>
                <w:rFonts w:ascii="Myriad Pro" w:cs="Myriad Pro" w:hAnsi="Myriad Pro" w:eastAsia="Myriad Pro"/>
                <w:rtl w:val="0"/>
                <w:lang w:val="en-US"/>
              </w:rPr>
              <w:t>Network as of Jan. 1, 2020, will be notified via mail</w:t>
            </w:r>
            <w:r>
              <w:rPr>
                <w:rFonts w:cs="Arial Unicode MS" w:eastAsia="Arial Unicode MS"/>
                <w:rtl w:val="0"/>
                <w:lang w:val="en-US"/>
              </w:rPr>
              <w:t>.</w:t>
            </w:r>
            <w:r/>
          </w:p>
        </w:tc>
      </w:tr>
    </w:tbl>
    <w:p>
      <w:pPr>
        <w:pStyle w:val="Body"/>
        <w:widowControl w:val="0"/>
        <w:ind w:left="198" w:hanging="198"/>
        <w:rPr>
          <w:rFonts w:ascii="Myriad Pro" w:cs="Myriad Pro" w:hAnsi="Myriad Pro" w:eastAsia="Myriad Pro"/>
        </w:rPr>
      </w:pPr>
    </w:p>
    <w:p>
      <w:pPr>
        <w:pStyle w:val="Body"/>
        <w:spacing w:line="240" w:lineRule="atLeast"/>
        <w:rPr>
          <w:rFonts w:ascii="Myriad Pro" w:cs="Myriad Pro" w:hAnsi="Myriad Pro" w:eastAsia="Myriad Pro"/>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56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Myriad Pro" w:cs="Myriad Pro" w:hAnsi="Myriad Pro" w:eastAsia="Myriad Pro"/>
                <w:b w:val="1"/>
                <w:bCs w:val="1"/>
                <w:sz w:val="24"/>
                <w:szCs w:val="24"/>
                <w:rtl w:val="0"/>
                <w:lang w:val="en-US"/>
              </w:rPr>
              <w:t>What if there are no Chiropractic Network providers available in my patient</w:t>
            </w:r>
            <w:r>
              <w:rPr>
                <w:rFonts w:ascii="Myriad Pro" w:cs="Myriad Pro" w:hAnsi="Myriad Pro" w:eastAsia="Myriad Pro"/>
                <w:b w:val="1"/>
                <w:bCs w:val="1"/>
                <w:sz w:val="24"/>
                <w:szCs w:val="24"/>
                <w:rtl w:val="0"/>
                <w:lang w:val="en-US"/>
              </w:rPr>
              <w:t>’</w:t>
            </w:r>
            <w:r>
              <w:rPr>
                <w:rFonts w:ascii="Myriad Pro" w:cs="Myriad Pro" w:hAnsi="Myriad Pro" w:eastAsia="Myriad Pro"/>
                <w:b w:val="1"/>
                <w:bCs w:val="1"/>
                <w:sz w:val="24"/>
                <w:szCs w:val="24"/>
                <w:rtl w:val="0"/>
                <w:lang w:val="en-US"/>
              </w:rPr>
              <w:t>s location?</w:t>
            </w:r>
            <w:r>
              <w:rPr>
                <w:rFonts w:ascii="Myriad Pro" w:cs="Myriad Pro" w:hAnsi="Myriad Pro" w:eastAsia="Myriad Pro"/>
                <w:b w:val="1"/>
                <w:bCs w:val="1"/>
                <w:sz w:val="24"/>
                <w:szCs w:val="24"/>
              </w:rPr>
            </w:r>
          </w:p>
        </w:tc>
      </w:tr>
      <w:tr>
        <w:tblPrEx>
          <w:shd w:val="clear" w:color="auto" w:fill="ced7e7"/>
        </w:tblPrEx>
        <w:trPr>
          <w:trHeight w:val="845"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 xml:space="preserve">A: </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rtl w:val="0"/>
                <w:lang w:val="en-US"/>
              </w:rPr>
              <w:t>Highmark has carefully evaluated its Chiropractic Network providers to ensure that members in all counties in Pennsylvania have the appropriate amount of access at the highest benefit level.</w:t>
            </w:r>
            <w:r>
              <w:rPr>
                <w:rFonts w:ascii="Myriad Pro" w:cs="Myriad Pro" w:hAnsi="Myriad Pro" w:eastAsia="Myriad Pro"/>
              </w:rPr>
            </w:r>
          </w:p>
        </w:tc>
      </w:tr>
    </w:tbl>
    <w:p>
      <w:pPr>
        <w:pStyle w:val="Body"/>
        <w:widowControl w:val="0"/>
        <w:ind w:left="198" w:hanging="198"/>
        <w:rPr>
          <w:rFonts w:ascii="Myriad Pro" w:cs="Myriad Pro" w:hAnsi="Myriad Pro" w:eastAsia="Myriad Pro"/>
        </w:rPr>
      </w:pPr>
    </w:p>
    <w:p>
      <w:pPr>
        <w:pStyle w:val="Body"/>
        <w:rPr>
          <w:rFonts w:ascii="Myriad Pro" w:cs="Myriad Pro" w:hAnsi="Myriad Pro" w:eastAsia="Myriad Pro"/>
          <w:b w:val="1"/>
          <w:bCs w:val="1"/>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56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What region does this apply to?</w:t>
            </w:r>
            <w:r>
              <w:rPr>
                <w:rFonts w:ascii="Myriad Pro" w:cs="Myriad Pro" w:hAnsi="Myriad Pro" w:eastAsia="Myriad Pro"/>
                <w:b w:val="1"/>
                <w:bCs w:val="1"/>
              </w:rPr>
            </w:r>
          </w:p>
        </w:tc>
      </w:tr>
      <w:tr>
        <w:tblPrEx>
          <w:shd w:val="clear" w:color="auto" w:fill="ced7e7"/>
        </w:tblPrEx>
        <w:trPr>
          <w:trHeight w:val="568"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 xml:space="preserve">A: </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Fonts w:ascii="Myriad Pro" w:cs="Myriad Pro" w:hAnsi="Myriad Pro" w:eastAsia="Myriad Pro"/>
                <w:sz w:val="24"/>
                <w:szCs w:val="24"/>
                <w:rtl w:val="0"/>
                <w:lang w:val="en-US"/>
              </w:rPr>
              <w:t>The Chiropractic</w:t>
            </w:r>
            <w:r>
              <w:rPr>
                <w:rFonts w:ascii="Gill Sans SemiBold" w:cs="Myriad Pro" w:hAnsi="Gill Sans SemiBold" w:eastAsia="Myriad Pro"/>
                <w:sz w:val="24"/>
                <w:szCs w:val="24"/>
                <w:rtl w:val="0"/>
                <w:lang w:val="en-US"/>
              </w:rPr>
              <w:t xml:space="preserve"> </w:t>
            </w:r>
            <w:r>
              <w:rPr>
                <w:rFonts w:ascii="Myriad Pro" w:cs="Myriad Pro" w:hAnsi="Myriad Pro" w:eastAsia="Myriad Pro"/>
                <w:sz w:val="24"/>
                <w:szCs w:val="24"/>
                <w:rtl w:val="0"/>
                <w:lang w:val="en-US"/>
              </w:rPr>
              <w:t>Network is available in Highmark's service areas in Pennsylvania.</w:t>
            </w:r>
            <w:r>
              <w:rPr>
                <w:rFonts w:ascii="Myriad Pro" w:cs="Myriad Pro" w:hAnsi="Myriad Pro" w:eastAsia="Myriad Pro"/>
                <w:sz w:val="24"/>
                <w:szCs w:val="24"/>
              </w:rPr>
            </w:r>
          </w:p>
        </w:tc>
      </w:tr>
    </w:tbl>
    <w:p>
      <w:pPr>
        <w:pStyle w:val="Body"/>
        <w:widowControl w:val="0"/>
        <w:ind w:left="198" w:hanging="198"/>
        <w:rPr>
          <w:rFonts w:ascii="Myriad Pro" w:cs="Myriad Pro" w:hAnsi="Myriad Pro" w:eastAsia="Myriad Pro"/>
          <w:b w:val="1"/>
          <w:bCs w:val="1"/>
        </w:rPr>
      </w:pPr>
    </w:p>
    <w:p>
      <w:pPr>
        <w:pStyle w:val="Body"/>
        <w:rPr>
          <w:rFonts w:ascii="Myriad Pro" w:cs="Myriad Pro" w:hAnsi="Myriad Pro" w:eastAsia="Myriad Pro"/>
          <w:b w:val="1"/>
          <w:bCs w:val="1"/>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84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 xml:space="preserve">How often are tiering and network selection determinations made?  Can I appeal the decisions for 1/1/20?  </w:t>
            </w:r>
            <w:r>
              <w:rPr>
                <w:rFonts w:ascii="Myriad Pro" w:cs="Myriad Pro" w:hAnsi="Myriad Pro" w:eastAsia="Myriad Pro"/>
                <w:b w:val="1"/>
                <w:bCs w:val="1"/>
              </w:rPr>
            </w:r>
          </w:p>
        </w:tc>
      </w:tr>
      <w:tr>
        <w:tblPrEx>
          <w:shd w:val="clear" w:color="auto" w:fill="ced7e7"/>
        </w:tblPrEx>
        <w:trPr>
          <w:trHeight w:val="1415"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A:</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rtl w:val="0"/>
                <w:lang w:val="en-US"/>
              </w:rPr>
              <w:t xml:space="preserve">Tiering and network selection determinations are made annually and are based on the most current performance data. Highmark cannot make dramatic changes to its provider networks more than once a year due to regulatory constraints.  There is no appeals process for the tiering/network decisions made for 1/1/20.  </w:t>
            </w:r>
            <w:r>
              <w:rPr>
                <w:rFonts w:ascii="Myriad Pro" w:cs="Myriad Pro" w:hAnsi="Myriad Pro" w:eastAsia="Myriad Pro"/>
              </w:rPr>
            </w:r>
          </w:p>
        </w:tc>
      </w:tr>
    </w:tbl>
    <w:p>
      <w:pPr>
        <w:pStyle w:val="Body"/>
        <w:widowControl w:val="0"/>
        <w:ind w:left="198" w:hanging="198"/>
        <w:rPr>
          <w:rFonts w:ascii="Myriad Pro" w:cs="Myriad Pro" w:hAnsi="Myriad Pro" w:eastAsia="Myriad Pro"/>
          <w:b w:val="1"/>
          <w:bCs w:val="1"/>
        </w:rPr>
      </w:pPr>
    </w:p>
    <w:p>
      <w:pPr>
        <w:pStyle w:val="Body"/>
        <w:rPr>
          <w:rFonts w:ascii="Myriad Pro" w:cs="Myriad Pro" w:hAnsi="Myriad Pro" w:eastAsia="Myriad Pro"/>
          <w:b w:val="1"/>
          <w:bCs w:val="1"/>
        </w:rPr>
      </w:pPr>
    </w:p>
    <w:p>
      <w:pPr>
        <w:pStyle w:val="Body"/>
        <w:rPr>
          <w:rFonts w:ascii="Myriad Pro" w:cs="Myriad Pro" w:hAnsi="Myriad Pro" w:eastAsia="Myriad Pro"/>
          <w:b w:val="1"/>
          <w:bCs w:val="1"/>
        </w:rPr>
      </w:pPr>
    </w:p>
    <w:p>
      <w:pPr>
        <w:pStyle w:val="Body"/>
        <w:rPr>
          <w:rFonts w:ascii="Myriad Pro" w:cs="Myriad Pro" w:hAnsi="Myriad Pro" w:eastAsia="Myriad Pro"/>
          <w:b w:val="1"/>
          <w:bCs w:val="1"/>
        </w:rPr>
      </w:pPr>
    </w:p>
    <w:p>
      <w:pPr>
        <w:pStyle w:val="Body"/>
        <w:rPr>
          <w:rFonts w:ascii="Myriad Pro" w:cs="Myriad Pro" w:hAnsi="Myriad Pro" w:eastAsia="Myriad Pro"/>
          <w:b w:val="1"/>
          <w:bCs w:val="1"/>
        </w:rPr>
      </w:pPr>
    </w:p>
    <w:p>
      <w:pPr>
        <w:pStyle w:val="Body"/>
        <w:rPr>
          <w:rFonts w:ascii="Myriad Pro" w:cs="Myriad Pro" w:hAnsi="Myriad Pro" w:eastAsia="Myriad Pro"/>
          <w:b w:val="1"/>
          <w:bCs w:val="1"/>
        </w:rPr>
      </w:pPr>
    </w:p>
    <w:p>
      <w:pPr>
        <w:pStyle w:val="Body"/>
        <w:rPr>
          <w:rFonts w:ascii="Myriad Pro" w:cs="Myriad Pro" w:hAnsi="Myriad Pro" w:eastAsia="Myriad Pro"/>
          <w:b w:val="1"/>
          <w:bCs w:val="1"/>
        </w:rPr>
      </w:pPr>
    </w:p>
    <w:p>
      <w:pPr>
        <w:pStyle w:val="Body"/>
        <w:rPr>
          <w:rFonts w:ascii="Myriad Pro" w:cs="Myriad Pro" w:hAnsi="Myriad Pro" w:eastAsia="Myriad Pro"/>
          <w:b w:val="1"/>
          <w:bCs w:val="1"/>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295" w:hRule="atLeast"/>
        </w:trPr>
        <w:tc>
          <w:tcPr>
            <w:tcW w:type="dxa" w:w="7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5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Can you provide examples of how Total Authorization Approval Rate and Requested Visit Approval Rate are calculated?</w:t>
            </w:r>
            <w:r>
              <w:rPr>
                <w:rFonts w:ascii="Myriad Pro" w:cs="Myriad Pro" w:hAnsi="Myriad Pro" w:eastAsia="Myriad Pro"/>
                <w:b w:val="1"/>
                <w:bCs w:val="1"/>
              </w:rPr>
            </w:r>
          </w:p>
        </w:tc>
      </w:tr>
      <w:tr>
        <w:tblPrEx>
          <w:shd w:val="clear" w:color="auto" w:fill="ced7e7"/>
        </w:tblPrEx>
        <w:trPr>
          <w:trHeight w:val="5767"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lang w:val="en-US"/>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rPr>
                <w:rFonts w:ascii="Myriad Pro" w:cs="Myriad Pro" w:hAnsi="Myriad Pro" w:eastAsia="Myriad Pro"/>
              </w:rPr>
            </w:pPr>
            <w:r>
              <w:rPr>
                <w:rFonts w:ascii="Myriad Pro" w:cs="Myriad Pro" w:hAnsi="Myriad Pro" w:eastAsia="Myriad Pro"/>
                <w:rtl w:val="0"/>
                <w:lang w:val="en-US"/>
              </w:rPr>
              <w:t>Example of calculation for Total Authorization Approval Rate and the Requested Visits Approval Rate:</w:t>
            </w:r>
          </w:p>
          <w:p>
            <w:pPr>
              <w:pStyle w:val="Body"/>
              <w:numPr>
                <w:ilvl w:val="0"/>
                <w:numId w:val="2"/>
              </w:numPr>
              <w:bidi w:val="0"/>
              <w:spacing w:after="13"/>
              <w:ind w:right="0"/>
              <w:jc w:val="left"/>
              <w:rPr>
                <w:rFonts w:ascii="Myriad Pro" w:cs="Myriad Pro" w:hAnsi="Myriad Pro" w:eastAsia="Myriad Pro"/>
                <w:rtl w:val="0"/>
                <w:lang w:val="en-US"/>
              </w:rPr>
            </w:pPr>
            <w:r>
              <w:rPr>
                <w:rFonts w:ascii="Myriad Pro" w:cs="Myriad Pro" w:hAnsi="Myriad Pro" w:eastAsia="Myriad Pro"/>
                <w:rtl w:val="0"/>
                <w:lang w:val="en-US"/>
              </w:rPr>
              <w:t>10 authorization requests requesting 10 visits each are submitted</w:t>
            </w:r>
          </w:p>
          <w:p>
            <w:pPr>
              <w:pStyle w:val="Body"/>
              <w:numPr>
                <w:ilvl w:val="0"/>
                <w:numId w:val="2"/>
              </w:numPr>
              <w:bidi w:val="0"/>
              <w:spacing w:after="13"/>
              <w:ind w:right="0"/>
              <w:jc w:val="left"/>
              <w:rPr>
                <w:rFonts w:ascii="Myriad Pro" w:cs="Myriad Pro" w:hAnsi="Myriad Pro" w:eastAsia="Myriad Pro"/>
                <w:rtl w:val="0"/>
                <w:lang w:val="en-US"/>
              </w:rPr>
            </w:pPr>
            <w:r>
              <w:rPr>
                <w:rFonts w:ascii="Myriad Pro" w:cs="Myriad Pro" w:hAnsi="Myriad Pro" w:eastAsia="Myriad Pro"/>
                <w:rtl w:val="0"/>
                <w:lang w:val="en-US"/>
              </w:rPr>
              <w:t xml:space="preserve">9 of the 10 authorization requests are fully approved. </w:t>
            </w:r>
          </w:p>
          <w:p>
            <w:pPr>
              <w:pStyle w:val="Body"/>
              <w:numPr>
                <w:ilvl w:val="0"/>
                <w:numId w:val="2"/>
              </w:numPr>
              <w:bidi w:val="0"/>
              <w:spacing w:after="13"/>
              <w:ind w:right="0"/>
              <w:jc w:val="left"/>
              <w:rPr>
                <w:rFonts w:ascii="Myriad Pro" w:cs="Myriad Pro" w:hAnsi="Myriad Pro" w:eastAsia="Myriad Pro"/>
                <w:rtl w:val="0"/>
                <w:lang w:val="en-US"/>
              </w:rPr>
            </w:pPr>
            <w:r>
              <w:rPr>
                <w:rFonts w:ascii="Myriad Pro" w:cs="Myriad Pro" w:hAnsi="Myriad Pro" w:eastAsia="Myriad Pro"/>
                <w:rtl w:val="0"/>
                <w:lang w:val="en-US"/>
              </w:rPr>
              <w:t>For one authorization request, 6 of 10 visits are approved.</w:t>
            </w:r>
          </w:p>
          <w:p>
            <w:pPr>
              <w:pStyle w:val="Body"/>
              <w:bidi w:val="0"/>
              <w:ind w:left="0" w:right="0" w:firstLine="0"/>
              <w:jc w:val="left"/>
              <w:rPr>
                <w:rFonts w:ascii="Myriad Pro" w:cs="Myriad Pro" w:hAnsi="Myriad Pro" w:eastAsia="Myriad Pro"/>
                <w:rtl w:val="0"/>
              </w:rPr>
            </w:pPr>
            <w:r>
              <w:rPr>
                <w:rFonts w:ascii="Myriad Pro" w:cs="Myriad Pro" w:hAnsi="Myriad Pro" w:eastAsia="Myriad Pro"/>
                <w:rtl w:val="0"/>
                <w:lang w:val="en-US"/>
              </w:rPr>
              <w:t> </w:t>
            </w:r>
          </w:p>
          <w:p>
            <w:pPr>
              <w:pStyle w:val="Body"/>
              <w:bidi w:val="0"/>
              <w:ind w:left="10" w:right="0" w:firstLine="0"/>
              <w:jc w:val="left"/>
              <w:rPr>
                <w:rFonts w:ascii="Myriad Pro" w:cs="Myriad Pro" w:hAnsi="Myriad Pro" w:eastAsia="Myriad Pro"/>
                <w:rtl w:val="0"/>
              </w:rPr>
            </w:pPr>
            <w:r>
              <w:rPr>
                <w:rFonts w:ascii="Myriad Pro" w:cs="Myriad Pro" w:hAnsi="Myriad Pro" w:eastAsia="Myriad Pro"/>
                <w:rtl w:val="0"/>
                <w:lang w:val="en-US"/>
              </w:rPr>
              <w:t>Total Authorization Approval Rate = Authorization Request Approvals / Authorization Requests</w:t>
            </w:r>
          </w:p>
          <w:p>
            <w:pPr>
              <w:pStyle w:val="Body"/>
              <w:bidi w:val="0"/>
              <w:ind w:left="730" w:right="0" w:firstLine="65"/>
              <w:jc w:val="left"/>
              <w:rPr>
                <w:rFonts w:ascii="Myriad Pro" w:cs="Myriad Pro" w:hAnsi="Myriad Pro" w:eastAsia="Myriad Pro"/>
                <w:rtl w:val="0"/>
              </w:rPr>
            </w:pPr>
            <w:r>
              <w:rPr>
                <w:rFonts w:ascii="Myriad Pro" w:cs="Myriad Pro" w:hAnsi="Myriad Pro" w:eastAsia="Myriad Pro"/>
                <w:rtl w:val="0"/>
                <w:lang w:val="en-US"/>
              </w:rPr>
              <w:t xml:space="preserve">= 9/10 </w:t>
            </w:r>
          </w:p>
          <w:p>
            <w:pPr>
              <w:pStyle w:val="Body"/>
              <w:bidi w:val="0"/>
              <w:ind w:left="730" w:right="0" w:firstLine="65"/>
              <w:jc w:val="left"/>
              <w:rPr>
                <w:rFonts w:ascii="Myriad Pro" w:cs="Myriad Pro" w:hAnsi="Myriad Pro" w:eastAsia="Myriad Pro"/>
                <w:rtl w:val="0"/>
              </w:rPr>
            </w:pPr>
            <w:r>
              <w:rPr>
                <w:rFonts w:ascii="Myriad Pro" w:cs="Myriad Pro" w:hAnsi="Myriad Pro" w:eastAsia="Myriad Pro"/>
                <w:rtl w:val="0"/>
                <w:lang w:val="en-US"/>
              </w:rPr>
              <w:t>= 90%</w:t>
            </w:r>
          </w:p>
          <w:p>
            <w:pPr>
              <w:pStyle w:val="Body"/>
              <w:bidi w:val="0"/>
              <w:ind w:left="655" w:right="0" w:firstLine="0"/>
              <w:jc w:val="left"/>
              <w:rPr>
                <w:rFonts w:ascii="Myriad Pro" w:cs="Myriad Pro" w:hAnsi="Myriad Pro" w:eastAsia="Myriad Pro"/>
                <w:rtl w:val="0"/>
              </w:rPr>
            </w:pPr>
            <w:r>
              <w:rPr>
                <w:rFonts w:ascii="Myriad Pro" w:cs="Myriad Pro" w:hAnsi="Myriad Pro" w:eastAsia="Myriad Pro"/>
                <w:rtl w:val="0"/>
                <w:lang w:val="en-US"/>
              </w:rPr>
              <w:t> </w:t>
            </w:r>
          </w:p>
          <w:p>
            <w:pPr>
              <w:pStyle w:val="Body"/>
              <w:bidi w:val="0"/>
              <w:ind w:left="0" w:right="0" w:firstLine="0"/>
              <w:jc w:val="left"/>
              <w:rPr>
                <w:rFonts w:ascii="Myriad Pro" w:cs="Myriad Pro" w:hAnsi="Myriad Pro" w:eastAsia="Myriad Pro"/>
                <w:rtl w:val="0"/>
              </w:rPr>
            </w:pPr>
            <w:r>
              <w:rPr>
                <w:rFonts w:ascii="Myriad Pro" w:cs="Myriad Pro" w:hAnsi="Myriad Pro" w:eastAsia="Myriad Pro"/>
                <w:rtl w:val="0"/>
                <w:lang w:val="en-US"/>
              </w:rPr>
              <w:t>Requested Visits Approval Rate = Visits Approved / Visits Requested</w:t>
            </w:r>
          </w:p>
          <w:p>
            <w:pPr>
              <w:pStyle w:val="Body"/>
              <w:bidi w:val="0"/>
              <w:ind w:left="730" w:right="0" w:firstLine="0"/>
              <w:jc w:val="left"/>
              <w:rPr>
                <w:rFonts w:ascii="Myriad Pro" w:cs="Myriad Pro" w:hAnsi="Myriad Pro" w:eastAsia="Myriad Pro"/>
                <w:rtl w:val="0"/>
              </w:rPr>
            </w:pPr>
            <w:r>
              <w:rPr>
                <w:rFonts w:ascii="Myriad Pro" w:cs="Myriad Pro" w:hAnsi="Myriad Pro" w:eastAsia="Myriad Pro"/>
                <w:rtl w:val="0"/>
                <w:lang w:val="en-US"/>
              </w:rPr>
              <w:t xml:space="preserve">= 96/100 </w:t>
            </w:r>
          </w:p>
          <w:p>
            <w:pPr>
              <w:pStyle w:val="Body"/>
              <w:bidi w:val="0"/>
              <w:ind w:left="730" w:right="0" w:firstLine="0"/>
              <w:jc w:val="left"/>
              <w:rPr>
                <w:rFonts w:ascii="Myriad Pro" w:cs="Myriad Pro" w:hAnsi="Myriad Pro" w:eastAsia="Myriad Pro"/>
                <w:rtl w:val="0"/>
              </w:rPr>
            </w:pPr>
            <w:r>
              <w:rPr>
                <w:rFonts w:ascii="Myriad Pro" w:cs="Myriad Pro" w:hAnsi="Myriad Pro" w:eastAsia="Myriad Pro"/>
                <w:rtl w:val="0"/>
                <w:lang w:val="en-US"/>
              </w:rPr>
              <w:t>= 96%</w:t>
            </w:r>
          </w:p>
          <w:p>
            <w:pPr>
              <w:pStyle w:val="Body"/>
              <w:rPr>
                <w:rFonts w:ascii="Myriad Pro" w:cs="Myriad Pro" w:hAnsi="Myriad Pro" w:eastAsia="Myriad Pro"/>
                <w:lang w:val="en-US"/>
              </w:rPr>
            </w:pPr>
          </w:p>
          <w:p>
            <w:pPr>
              <w:pStyle w:val="Body"/>
              <w:bidi w:val="0"/>
              <w:spacing w:after="120"/>
              <w:ind w:left="0" w:right="0" w:firstLine="0"/>
              <w:jc w:val="left"/>
              <w:rPr>
                <w:rFonts w:ascii="Myriad Pro" w:cs="Myriad Pro" w:hAnsi="Myriad Pro" w:eastAsia="Myriad Pro"/>
                <w:rtl w:val="0"/>
              </w:rPr>
            </w:pPr>
            <w:r>
              <w:rPr>
                <w:rFonts w:ascii="Myriad Pro" w:cs="Myriad Pro" w:hAnsi="Myriad Pro" w:eastAsia="Myriad Pro"/>
                <w:rtl w:val="0"/>
                <w:lang w:val="en-US"/>
              </w:rPr>
              <w:t xml:space="preserve">The prescreening process compares the data to the decision support pathway and returns what is recommended by the guidelines. It then presents the provider with a choice. </w:t>
            </w:r>
          </w:p>
          <w:p>
            <w:pPr>
              <w:pStyle w:val="Body"/>
              <w:bidi w:val="0"/>
              <w:ind w:left="0" w:right="0" w:firstLine="0"/>
              <w:jc w:val="left"/>
              <w:rPr>
                <w:rtl w:val="0"/>
              </w:rPr>
            </w:pPr>
            <w:r>
              <w:rPr>
                <w:rFonts w:ascii="Gill Sans SemiBold" w:cs="Myriad Pro" w:hAnsi="Gill Sans SemiBold" w:eastAsia="Myriad Pro"/>
                <w:rtl w:val="0"/>
                <w:lang w:val="en-US"/>
              </w:rPr>
              <w:t>Example:</w:t>
            </w:r>
            <w:r>
              <w:rPr>
                <w:rFonts w:ascii="Myriad Pro" w:cs="Myriad Pro" w:hAnsi="Myriad Pro" w:eastAsia="Myriad Pro"/>
                <w:rtl w:val="0"/>
                <w:lang w:val="en-US"/>
              </w:rPr>
              <w:t xml:space="preserve"> If a provider requests 8 visits and the prescreening system states that the guidelines show 6 visits, the provider can agree to change his/her request to align with those guidelines (i.e. , request 6 and have all 6 approved). So these are considered approvals.  </w:t>
            </w:r>
            <w:r>
              <w:rPr>
                <w:rFonts w:ascii="Myriad Pro" w:cs="Myriad Pro" w:hAnsi="Myriad Pro" w:eastAsia="Myriad Pro"/>
              </w:rPr>
            </w:r>
          </w:p>
        </w:tc>
      </w:tr>
    </w:tbl>
    <w:p>
      <w:pPr>
        <w:pStyle w:val="Body"/>
        <w:widowControl w:val="0"/>
        <w:ind w:left="198" w:hanging="198"/>
        <w:rPr>
          <w:rFonts w:ascii="Myriad Pro" w:cs="Myriad Pro" w:hAnsi="Myriad Pro" w:eastAsia="Myriad Pro"/>
          <w:b w:val="1"/>
          <w:bCs w:val="1"/>
        </w:rPr>
      </w:pPr>
    </w:p>
    <w:p>
      <w:pPr>
        <w:pStyle w:val="Body"/>
        <w:rPr>
          <w:rFonts w:ascii="Myriad Pro" w:cs="Myriad Pro" w:hAnsi="Myriad Pro" w:eastAsia="Myriad Pro"/>
          <w:b w:val="1"/>
          <w:bCs w:val="1"/>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84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 xml:space="preserve">What is the difference between the Pathways Program and the tiering/network decisions made by Highmark?    </w:t>
            </w:r>
            <w:r>
              <w:rPr>
                <w:rFonts w:ascii="Myriad Pro" w:cs="Myriad Pro" w:hAnsi="Myriad Pro" w:eastAsia="Myriad Pro"/>
                <w:b w:val="1"/>
                <w:bCs w:val="1"/>
              </w:rPr>
            </w:r>
          </w:p>
        </w:tc>
      </w:tr>
      <w:tr>
        <w:tblPrEx>
          <w:shd w:val="clear" w:color="auto" w:fill="ced7e7"/>
        </w:tblPrEx>
        <w:trPr>
          <w:trHeight w:val="2245"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A:</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rPr>
                <w:rFonts w:ascii="Myriad Pro" w:cs="Myriad Pro" w:hAnsi="Myriad Pro" w:eastAsia="Myriad Pro"/>
              </w:rPr>
            </w:pPr>
            <w:r>
              <w:rPr>
                <w:rFonts w:ascii="Myriad Pro" w:cs="Myriad Pro" w:hAnsi="Myriad Pro" w:eastAsia="Myriad Pro"/>
                <w:rtl w:val="0"/>
                <w:lang w:val="en-US"/>
              </w:rPr>
              <w:t xml:space="preserve">Tivity administers the Pathways program and notifies providers whether or not they have achieved </w:t>
            </w:r>
            <w:r>
              <w:rPr>
                <w:rFonts w:ascii="Myriad Pro" w:cs="Myriad Pro" w:hAnsi="Myriad Pro" w:eastAsia="Myriad Pro"/>
                <w:rtl w:val="0"/>
                <w:lang w:val="en-US"/>
              </w:rPr>
              <w:t>“</w:t>
            </w:r>
            <w:r>
              <w:rPr>
                <w:rFonts w:ascii="Myriad Pro" w:cs="Myriad Pro" w:hAnsi="Myriad Pro" w:eastAsia="Myriad Pro"/>
                <w:rtl w:val="0"/>
                <w:lang w:val="en-US"/>
              </w:rPr>
              <w:t>Qualifying Status</w:t>
            </w:r>
            <w:r>
              <w:rPr>
                <w:rFonts w:ascii="Myriad Pro" w:cs="Myriad Pro" w:hAnsi="Myriad Pro" w:eastAsia="Myriad Pro"/>
                <w:rtl w:val="0"/>
                <w:lang w:val="en-US"/>
              </w:rPr>
              <w:t xml:space="preserve">” </w:t>
            </w:r>
            <w:r>
              <w:rPr>
                <w:rFonts w:ascii="Myriad Pro" w:cs="Myriad Pro" w:hAnsi="Myriad Pro" w:eastAsia="Myriad Pro"/>
                <w:rtl w:val="0"/>
                <w:lang w:val="en-US"/>
              </w:rPr>
              <w:t xml:space="preserve">for the upcoming year.  Although the metrics used are the same, Highmark weights the metrics to determine an overall score for providers and makes decisions on not just the metric scores but also by value and member access/experience.  </w:t>
            </w:r>
          </w:p>
          <w:p>
            <w:pPr>
              <w:pStyle w:val="Body"/>
              <w:bidi w:val="0"/>
              <w:ind w:left="0" w:right="0" w:firstLine="0"/>
              <w:jc w:val="left"/>
              <w:rPr>
                <w:rtl w:val="0"/>
              </w:rPr>
            </w:pPr>
            <w:r>
              <w:rPr>
                <w:rFonts w:ascii="Myriad Pro" w:cs="Myriad Pro" w:hAnsi="Myriad Pro" w:eastAsia="Myriad Pro"/>
                <w:rtl w:val="0"/>
                <w:lang w:val="en-US"/>
              </w:rPr>
              <w:t xml:space="preserve">In addition, the time periods used for evaluation is different for the two programs.  The Pathways determination for 1/1/20 was based on the metrics from 6/1/18-5/31/19 while the Highmark tiering/network decisions for 1/1/20 were based on 6/1/17-5/31/18.   </w:t>
            </w:r>
            <w:r>
              <w:rPr>
                <w:rFonts w:ascii="Myriad Pro" w:cs="Myriad Pro" w:hAnsi="Myriad Pro" w:eastAsia="Myriad Pro"/>
              </w:rPr>
            </w:r>
          </w:p>
        </w:tc>
      </w:tr>
    </w:tbl>
    <w:p>
      <w:pPr>
        <w:pStyle w:val="Body"/>
        <w:widowControl w:val="0"/>
        <w:ind w:left="198" w:hanging="198"/>
        <w:rPr>
          <w:rFonts w:ascii="Myriad Pro" w:cs="Myriad Pro" w:hAnsi="Myriad Pro" w:eastAsia="Myriad Pro"/>
          <w:b w:val="1"/>
          <w:bCs w:val="1"/>
        </w:rPr>
      </w:pPr>
    </w:p>
    <w:p>
      <w:pPr>
        <w:pStyle w:val="Body"/>
        <w:rPr>
          <w:rFonts w:ascii="Myriad Pro" w:cs="Myriad Pro" w:hAnsi="Myriad Pro" w:eastAsia="Myriad Pro"/>
          <w:b w:val="1"/>
          <w:bCs w:val="1"/>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56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How do I improve my performance to change my status for the next calendar year?</w:t>
            </w:r>
            <w:r>
              <w:rPr>
                <w:rFonts w:ascii="Myriad Pro" w:cs="Myriad Pro" w:hAnsi="Myriad Pro" w:eastAsia="Myriad Pro"/>
                <w:b w:val="1"/>
                <w:bCs w:val="1"/>
              </w:rPr>
            </w:r>
          </w:p>
        </w:tc>
      </w:tr>
      <w:tr>
        <w:tblPrEx>
          <w:shd w:val="clear" w:color="auto" w:fill="ced7e7"/>
        </w:tblPrEx>
        <w:trPr>
          <w:trHeight w:val="845"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A:</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rtl w:val="0"/>
                <w:lang w:val="en-US"/>
              </w:rPr>
              <w:t>Highmark suggests that all participating providers focus on improving their performance for the metrics listed above.</w:t>
            </w:r>
            <w:r>
              <w:rPr>
                <w:rFonts w:ascii="Myriad Pro" w:cs="Myriad Pro" w:hAnsi="Myriad Pro" w:eastAsia="Myriad Pro"/>
              </w:rPr>
            </w:r>
          </w:p>
        </w:tc>
      </w:tr>
    </w:tbl>
    <w:p>
      <w:pPr>
        <w:pStyle w:val="Body"/>
        <w:widowControl w:val="0"/>
        <w:ind w:left="198" w:hanging="198"/>
        <w:rPr>
          <w:rFonts w:ascii="Myriad Pro" w:cs="Myriad Pro" w:hAnsi="Myriad Pro" w:eastAsia="Myriad Pro"/>
          <w:b w:val="1"/>
          <w:bCs w:val="1"/>
        </w:rPr>
      </w:pPr>
    </w:p>
    <w:p>
      <w:pPr>
        <w:pStyle w:val="Body"/>
        <w:rPr>
          <w:rFonts w:ascii="Myriad Pro" w:cs="Myriad Pro" w:hAnsi="Myriad Pro" w:eastAsia="Myriad Pro"/>
          <w:b w:val="1"/>
          <w:bCs w:val="1"/>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57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Will providers be notified of their 1/1/20 tiering/network status?</w:t>
            </w:r>
            <w:r>
              <w:rPr>
                <w:rFonts w:ascii="Myriad Pro" w:cs="Myriad Pro" w:hAnsi="Myriad Pro" w:eastAsia="Myriad Pro"/>
                <w:b w:val="1"/>
                <w:bCs w:val="1"/>
              </w:rPr>
            </w:r>
          </w:p>
        </w:tc>
      </w:tr>
      <w:tr>
        <w:tblPrEx>
          <w:shd w:val="clear" w:color="auto" w:fill="ced7e7"/>
        </w:tblPrEx>
        <w:trPr>
          <w:trHeight w:val="845"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A:</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rtl w:val="0"/>
                <w:lang w:val="en-US"/>
              </w:rPr>
              <w:t xml:space="preserve">Only providers whose status is changing for 1/1/20 will be notified of their new tiering/network status.  Providers whose status remains the same will not receive notification from Highmark.  </w:t>
            </w:r>
            <w:r>
              <w:rPr>
                <w:rFonts w:ascii="Myriad Pro" w:cs="Myriad Pro" w:hAnsi="Myriad Pro" w:eastAsia="Myriad Pro"/>
              </w:rPr>
            </w:r>
          </w:p>
        </w:tc>
      </w:tr>
    </w:tbl>
    <w:p>
      <w:pPr>
        <w:pStyle w:val="Body"/>
        <w:widowControl w:val="0"/>
        <w:ind w:left="198" w:hanging="198"/>
        <w:rPr>
          <w:rFonts w:ascii="Myriad Pro" w:cs="Myriad Pro" w:hAnsi="Myriad Pro" w:eastAsia="Myriad Pro"/>
          <w:b w:val="1"/>
          <w:bCs w:val="1"/>
        </w:rPr>
      </w:pPr>
    </w:p>
    <w:p>
      <w:pPr>
        <w:pStyle w:val="Body"/>
        <w:rPr>
          <w:rFonts w:ascii="Myriad Pro" w:cs="Myriad Pro" w:hAnsi="Myriad Pro" w:eastAsia="Myriad Pro"/>
          <w:b w:val="1"/>
          <w:bCs w:val="1"/>
        </w:rPr>
      </w:pPr>
    </w:p>
    <w:tbl>
      <w:tblPr>
        <w:tblW w:w="1026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9540"/>
      </w:tblGrid>
      <w:tr>
        <w:tblPrEx>
          <w:shd w:val="clear" w:color="auto" w:fill="ced7e7"/>
        </w:tblPrEx>
        <w:trPr>
          <w:trHeight w:val="560" w:hRule="atLeast"/>
        </w:trPr>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b w:val="1"/>
                <w:bCs w:val="1"/>
                <w:rtl w:val="0"/>
                <w:lang w:val="en-US"/>
              </w:rPr>
              <w:t xml:space="preserve">Q: </w:t>
            </w:r>
          </w:p>
        </w:tc>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b w:val="1"/>
                <w:bCs w:val="1"/>
                <w:rtl w:val="0"/>
                <w:lang w:val="en-US"/>
              </w:rPr>
              <w:t>Where can I submit questions?</w:t>
            </w:r>
            <w:r>
              <w:rPr>
                <w:rFonts w:ascii="Myriad Pro" w:cs="Myriad Pro" w:hAnsi="Myriad Pro" w:eastAsia="Myriad Pro"/>
                <w:b w:val="1"/>
                <w:bCs w:val="1"/>
              </w:rPr>
            </w:r>
          </w:p>
        </w:tc>
      </w:tr>
      <w:tr>
        <w:tblPrEx>
          <w:shd w:val="clear" w:color="auto" w:fill="ced7e7"/>
        </w:tblPrEx>
        <w:trPr>
          <w:trHeight w:val="845" w:hRule="atLeast"/>
        </w:trPr>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tLeast"/>
            </w:pPr>
            <w:r>
              <w:rPr>
                <w:rFonts w:ascii="Myriad Pro" w:cs="Myriad Pro" w:hAnsi="Myriad Pro" w:eastAsia="Myriad Pro"/>
                <w:rtl w:val="0"/>
                <w:lang w:val="en-US"/>
              </w:rPr>
              <w:t>A:</w:t>
            </w:r>
            <w:r>
              <w:rPr>
                <w:rFonts w:ascii="Myriad Pro" w:cs="Myriad Pro" w:hAnsi="Myriad Pro" w:eastAsia="Myriad Pro"/>
              </w:rPr>
            </w:r>
          </w:p>
        </w:tc>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Myriad Pro" w:cs="Myriad Pro" w:hAnsi="Myriad Pro" w:eastAsia="Myriad Pro"/>
                <w:rtl w:val="0"/>
                <w:lang w:val="en-US"/>
              </w:rPr>
              <w:t xml:space="preserve">Please send you questions through email to </w:t>
            </w:r>
            <w:r>
              <w:rPr>
                <w:rStyle w:val="Hyperlink.0"/>
                <w:rFonts w:ascii="Gill Sans SemiBold" w:cs="Gill Sans SemiBold" w:hAnsi="Gill Sans SemiBold" w:eastAsia="Gill Sans SemiBold"/>
                <w:lang w:val="en-US"/>
              </w:rPr>
              <w:fldChar w:fldCharType="begin" w:fldLock="0"/>
            </w:r>
            <w:r>
              <w:rPr>
                <w:rStyle w:val="Hyperlink.0"/>
                <w:rFonts w:ascii="Gill Sans SemiBold" w:cs="Gill Sans SemiBold" w:hAnsi="Gill Sans SemiBold" w:eastAsia="Gill Sans SemiBold"/>
                <w:lang w:val="en-US"/>
              </w:rPr>
              <w:instrText xml:space="preserve"> HYPERLINK "mailto:AncillaryProviderContractAdministration@Highmark.com"</w:instrText>
            </w:r>
            <w:r>
              <w:rPr>
                <w:rStyle w:val="Hyperlink.0"/>
                <w:rFonts w:ascii="Gill Sans SemiBold" w:cs="Gill Sans SemiBold" w:hAnsi="Gill Sans SemiBold" w:eastAsia="Gill Sans SemiBold"/>
                <w:lang w:val="en-US"/>
              </w:rPr>
              <w:fldChar w:fldCharType="separate" w:fldLock="0"/>
            </w:r>
            <w:r>
              <w:rPr>
                <w:rStyle w:val="Hyperlink.0"/>
                <w:rFonts w:ascii="Gill Sans SemiBold" w:cs="Myriad Pro" w:hAnsi="Gill Sans SemiBold" w:eastAsia="Myriad Pro"/>
                <w:rtl w:val="0"/>
                <w:lang w:val="en-US"/>
              </w:rPr>
              <w:t>AncillaryProviderContractAdministration@Highmark.com</w:t>
            </w:r>
            <w:r>
              <w:rPr>
                <w:rFonts w:ascii="Myriad Pro" w:cs="Myriad Pro" w:hAnsi="Myriad Pro" w:eastAsia="Myriad Pro"/>
              </w:rPr>
              <w:fldChar w:fldCharType="end" w:fldLock="0"/>
            </w:r>
            <w:r>
              <w:rPr>
                <w:rFonts w:ascii="Myriad Pro" w:cs="Myriad Pro" w:hAnsi="Myriad Pro" w:eastAsia="Myriad Pro"/>
              </w:rPr>
            </w:r>
          </w:p>
        </w:tc>
      </w:tr>
    </w:tbl>
    <w:p>
      <w:pPr>
        <w:pStyle w:val="Body"/>
        <w:widowControl w:val="0"/>
        <w:ind w:left="198" w:hanging="198"/>
      </w:pPr>
      <w:r>
        <w:rPr>
          <w:rFonts w:ascii="Myriad Pro" w:cs="Myriad Pro" w:hAnsi="Myriad Pro" w:eastAsia="Myriad Pro"/>
          <w:b w:val="1"/>
          <w:bCs w:val="1"/>
        </w:rPr>
      </w:r>
    </w:p>
    <w:sectPr>
      <w:headerReference w:type="default" r:id="rId5"/>
      <w:footerReference w:type="default" r:id="rId6"/>
      <w:pgSz w:w="12240" w:h="15840" w:orient="portrait"/>
      <w:pgMar w:top="245" w:right="864" w:bottom="1440" w:left="864" w:header="720" w:footer="14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yriad Pro">
    <w:charset w:val="00"/>
    <w:family w:val="roman"/>
    <w:pitch w:val="default"/>
  </w:font>
  <w:font w:name="Calibri">
    <w:charset w:val="00"/>
    <w:family w:val="roman"/>
    <w:pitch w:val="default"/>
  </w:font>
  <w:font w:name="Gill Sans SemiBold">
    <w:charset w:val="00"/>
    <w:family w:val="roman"/>
    <w:pitch w:val="default"/>
  </w:font>
  <w:font w:name="Gill Sans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Fonts w:ascii="Myriad Pro" w:cs="Myriad Pro" w:hAnsi="Myriad Pro" w:eastAsia="Myriad Pro"/>
      </w:rPr>
    </w:pPr>
    <w:r>
      <w:rPr>
        <w:rFonts w:ascii="Myriad Pro" w:cs="Myriad Pro" w:hAnsi="Myriad Pro" w:eastAsia="Myriad Pro"/>
        <w:rtl w:val="0"/>
        <w:lang w:val="en-US"/>
      </w:rPr>
      <w:t xml:space="preserve">                                                                                                 </w:t>
    </w:r>
  </w:p>
  <w:p>
    <w:pPr>
      <w:pStyle w:val="footer"/>
      <w:jc w:val="center"/>
      <w:rPr>
        <w:rFonts w:ascii="Myriad Pro" w:cs="Myriad Pro" w:hAnsi="Myriad Pro" w:eastAsia="Myriad Pro"/>
      </w:rPr>
    </w:pPr>
    <w:r>
      <w:rPr>
        <w:rFonts w:ascii="Myriad Pro" w:cs="Myriad Pro" w:hAnsi="Myriad Pro" w:eastAsia="Myriad Pro"/>
        <w:rtl w:val="0"/>
      </w:rPr>
      <w:tab/>
      <w:t xml:space="preserve">Page </w:t>
    </w:r>
    <w:r>
      <w:rPr>
        <w:rFonts w:ascii="Myriad Pro" w:cs="Myriad Pro" w:hAnsi="Myriad Pro" w:eastAsia="Myriad Pro"/>
        <w:rtl w:val="0"/>
      </w:rPr>
      <w:fldChar w:fldCharType="begin" w:fldLock="0"/>
    </w:r>
    <w:r>
      <w:rPr>
        <w:rFonts w:ascii="Myriad Pro" w:cs="Myriad Pro" w:hAnsi="Myriad Pro" w:eastAsia="Myriad Pro"/>
        <w:rtl w:val="0"/>
      </w:rPr>
      <w:instrText xml:space="preserve"> PAGE </w:instrText>
    </w:r>
    <w:r>
      <w:rPr>
        <w:rFonts w:ascii="Myriad Pro" w:cs="Myriad Pro" w:hAnsi="Myriad Pro" w:eastAsia="Myriad Pro"/>
        <w:rtl w:val="0"/>
      </w:rPr>
      <w:fldChar w:fldCharType="separate" w:fldLock="0"/>
    </w:r>
    <w:r>
      <w:rPr>
        <w:rFonts w:ascii="Myriad Pro" w:cs="Myriad Pro" w:hAnsi="Myriad Pro" w:eastAsia="Myriad Pro"/>
        <w:rtl w:val="0"/>
      </w:rPr>
      <w:t>5</w:t>
    </w:r>
    <w:r>
      <w:rPr>
        <w:rFonts w:ascii="Myriad Pro" w:cs="Myriad Pro" w:hAnsi="Myriad Pro" w:eastAsia="Myriad Pro"/>
        <w:rtl w:val="0"/>
      </w:rPr>
      <w:fldChar w:fldCharType="end" w:fldLock="0"/>
    </w:r>
    <w:r>
      <w:rPr>
        <w:rFonts w:ascii="Myriad Pro" w:cs="Myriad Pro" w:hAnsi="Myriad Pro" w:eastAsia="Myriad Pro"/>
        <w:rtl w:val="0"/>
        <w:lang w:val="en-US"/>
      </w:rPr>
      <w:t xml:space="preserve"> of </w:t>
    </w:r>
    <w:r>
      <w:rPr>
        <w:rFonts w:ascii="Myriad Pro" w:cs="Myriad Pro" w:hAnsi="Myriad Pro" w:eastAsia="Myriad Pro"/>
        <w:rtl w:val="0"/>
      </w:rPr>
      <w:fldChar w:fldCharType="begin" w:fldLock="0"/>
    </w:r>
    <w:r>
      <w:rPr>
        <w:rFonts w:ascii="Myriad Pro" w:cs="Myriad Pro" w:hAnsi="Myriad Pro" w:eastAsia="Myriad Pro"/>
        <w:rtl w:val="0"/>
      </w:rPr>
      <w:instrText xml:space="preserve"> NUMPAGES </w:instrText>
    </w:r>
    <w:r>
      <w:rPr>
        <w:rFonts w:ascii="Myriad Pro" w:cs="Myriad Pro" w:hAnsi="Myriad Pro" w:eastAsia="Myriad Pro"/>
        <w:rtl w:val="0"/>
      </w:rPr>
      <w:fldChar w:fldCharType="separate" w:fldLock="0"/>
    </w:r>
    <w:r>
      <w:rPr>
        <w:rFonts w:ascii="Myriad Pro" w:cs="Myriad Pro" w:hAnsi="Myriad Pro" w:eastAsia="Myriad Pro"/>
        <w:rtl w:val="0"/>
      </w:rPr>
      <w:t>5</w:t>
    </w:r>
    <w:r>
      <w:rPr>
        <w:rFonts w:ascii="Myriad Pro" w:cs="Myriad Pro" w:hAnsi="Myriad Pro" w:eastAsia="Myriad Pro"/>
        <w:rtl w:val="0"/>
      </w:rPr>
      <w:fldChar w:fldCharType="end" w:fldLock="0"/>
    </w:r>
    <w:r>
      <w:rPr>
        <w:rFonts w:ascii="Myriad Pro" w:cs="Myriad Pro" w:hAnsi="Myriad Pro" w:eastAsia="Myriad Pro"/>
        <w:rtl w:val="0"/>
        <w:lang w:val="en-US"/>
      </w:rPr>
      <w:t xml:space="preserve"> </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drawing>
        <wp:anchor distT="152400" distB="152400" distL="152400" distR="152400" simplePos="0" relativeHeight="251658240" behindDoc="1" locked="0" layoutInCell="1" allowOverlap="1">
          <wp:simplePos x="0" y="0"/>
          <wp:positionH relativeFrom="page">
            <wp:posOffset>333375</wp:posOffset>
          </wp:positionH>
          <wp:positionV relativeFrom="page">
            <wp:posOffset>9609454</wp:posOffset>
          </wp:positionV>
          <wp:extent cx="2247900" cy="30861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2247900" cy="30861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num" w:pos="720"/>
        </w:tabs>
        <w:ind w:left="8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5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22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30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7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44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51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8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6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Gill Sans SemiBold" w:cs="Gill Sans SemiBold" w:hAnsi="Gill Sans SemiBold" w:eastAsia="Gill Sans SemiBold"/>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