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8579" w14:textId="77777777" w:rsidR="00B90357" w:rsidRDefault="005F33B8" w:rsidP="00B90357">
      <w:pPr>
        <w:rPr>
          <w:sz w:val="24"/>
          <w:szCs w:val="24"/>
          <w:u w:val="single"/>
        </w:rPr>
      </w:pPr>
      <w:hyperlink r:id="rId8" w:history="1">
        <w:r w:rsidR="00B90357">
          <w:rPr>
            <w:rStyle w:val="Hyperlink"/>
            <w:color w:val="002060"/>
            <w:sz w:val="24"/>
            <w:szCs w:val="24"/>
          </w:rPr>
          <w:t>http://wdoc.house.leg.state.mn.us/leg/LS91/HF4556.0.pdf</w:t>
        </w:r>
      </w:hyperlink>
    </w:p>
    <w:p w14:paraId="0D3626E3" w14:textId="77777777" w:rsidR="00B90357" w:rsidRDefault="00B90357" w:rsidP="00B90357">
      <w:pPr>
        <w:rPr>
          <w:color w:val="002060"/>
          <w:sz w:val="24"/>
          <w:szCs w:val="24"/>
        </w:rPr>
      </w:pPr>
    </w:p>
    <w:p w14:paraId="717E8138" w14:textId="77777777" w:rsidR="00B90357" w:rsidRDefault="00B90357" w:rsidP="00B90357">
      <w:pPr>
        <w:rPr>
          <w:color w:val="002060"/>
          <w:sz w:val="24"/>
          <w:szCs w:val="24"/>
        </w:rPr>
      </w:pPr>
      <w:r>
        <w:rPr>
          <w:color w:val="002060"/>
          <w:sz w:val="24"/>
          <w:szCs w:val="24"/>
        </w:rPr>
        <w:t>CDL items in HF 4556:</w:t>
      </w:r>
    </w:p>
    <w:p w14:paraId="1D303F5E" w14:textId="77777777" w:rsidR="00B90357" w:rsidRDefault="00B90357" w:rsidP="00B90357">
      <w:pPr>
        <w:rPr>
          <w:color w:val="002060"/>
          <w:sz w:val="24"/>
          <w:szCs w:val="24"/>
          <w:u w:val="single"/>
        </w:rPr>
      </w:pPr>
    </w:p>
    <w:p w14:paraId="5EFBB16B" w14:textId="77777777" w:rsidR="00B90357" w:rsidRDefault="00B90357" w:rsidP="00B90357">
      <w:pPr>
        <w:rPr>
          <w:color w:val="002060"/>
          <w:sz w:val="24"/>
          <w:szCs w:val="24"/>
          <w:u w:val="single"/>
        </w:rPr>
      </w:pPr>
      <w:r>
        <w:rPr>
          <w:color w:val="002060"/>
          <w:sz w:val="24"/>
          <w:szCs w:val="24"/>
          <w:u w:val="single"/>
        </w:rPr>
        <w:t>Section 4</w:t>
      </w:r>
    </w:p>
    <w:p w14:paraId="78D23F84" w14:textId="77777777" w:rsidR="00B90357" w:rsidRDefault="00B90357" w:rsidP="00B90357">
      <w:pPr>
        <w:rPr>
          <w:color w:val="002060"/>
          <w:sz w:val="24"/>
          <w:szCs w:val="24"/>
        </w:rPr>
      </w:pPr>
      <w:r>
        <w:rPr>
          <w:color w:val="002060"/>
          <w:sz w:val="24"/>
          <w:szCs w:val="24"/>
        </w:rPr>
        <w:t xml:space="preserve">Individuals new to Minnesota with an out of state CDL can drive for 30 days before needing to get a Minnesota credential.  An </w:t>
      </w:r>
      <w:r>
        <w:rPr>
          <w:color w:val="002060"/>
          <w:sz w:val="24"/>
          <w:szCs w:val="24"/>
          <w:shd w:val="clear" w:color="auto" w:fill="FFFFFF"/>
        </w:rPr>
        <w:t>extension is provided to the last day of the second consecutive month following the month in which the peacetime public health emergency period terminates. The waiver may not extend past the FMCSA waiver date (currently June 30, 2020).</w:t>
      </w:r>
    </w:p>
    <w:p w14:paraId="34DBAF81" w14:textId="77777777" w:rsidR="00B90357" w:rsidRDefault="00B90357" w:rsidP="00B90357">
      <w:pPr>
        <w:rPr>
          <w:color w:val="002060"/>
          <w:sz w:val="24"/>
          <w:szCs w:val="24"/>
        </w:rPr>
      </w:pPr>
    </w:p>
    <w:p w14:paraId="6AE8A7C6" w14:textId="77777777" w:rsidR="00B90357" w:rsidRDefault="00B90357" w:rsidP="00B90357">
      <w:pPr>
        <w:rPr>
          <w:color w:val="002060"/>
          <w:sz w:val="24"/>
          <w:szCs w:val="24"/>
          <w:u w:val="single"/>
        </w:rPr>
      </w:pPr>
      <w:r>
        <w:rPr>
          <w:color w:val="002060"/>
          <w:sz w:val="24"/>
          <w:szCs w:val="24"/>
          <w:u w:val="single"/>
        </w:rPr>
        <w:t>Section 5</w:t>
      </w:r>
    </w:p>
    <w:p w14:paraId="7A7954CE" w14:textId="77777777" w:rsidR="00B90357" w:rsidRDefault="00B90357" w:rsidP="00B90357">
      <w:pPr>
        <w:rPr>
          <w:color w:val="002060"/>
          <w:sz w:val="24"/>
          <w:szCs w:val="24"/>
        </w:rPr>
      </w:pPr>
      <w:r>
        <w:rPr>
          <w:color w:val="002060"/>
          <w:sz w:val="24"/>
          <w:szCs w:val="24"/>
        </w:rPr>
        <w:t>If the medical certificate expires during the peacetime emergency, an</w:t>
      </w:r>
      <w:r>
        <w:rPr>
          <w:color w:val="002060"/>
          <w:sz w:val="24"/>
          <w:szCs w:val="24"/>
          <w:shd w:val="clear" w:color="auto" w:fill="FFFFFF"/>
        </w:rPr>
        <w:t xml:space="preserve"> extension is provided to the last day of the second consecutive month following the month in which the peacetime public health emergency period terminates. The waiver may not extend past the FMCSA waiver date (currently June 30, 2020).</w:t>
      </w:r>
    </w:p>
    <w:p w14:paraId="1BB76909" w14:textId="77777777" w:rsidR="00B90357" w:rsidRDefault="00B90357" w:rsidP="00B90357">
      <w:pPr>
        <w:rPr>
          <w:color w:val="002060"/>
          <w:sz w:val="24"/>
          <w:szCs w:val="24"/>
        </w:rPr>
      </w:pPr>
    </w:p>
    <w:p w14:paraId="66453E08" w14:textId="77777777" w:rsidR="00B90357" w:rsidRDefault="00B90357" w:rsidP="00B90357">
      <w:pPr>
        <w:rPr>
          <w:color w:val="002060"/>
          <w:sz w:val="24"/>
          <w:szCs w:val="24"/>
          <w:u w:val="single"/>
        </w:rPr>
      </w:pPr>
      <w:r>
        <w:rPr>
          <w:color w:val="002060"/>
          <w:sz w:val="24"/>
          <w:szCs w:val="24"/>
          <w:u w:val="single"/>
        </w:rPr>
        <w:t>Section 6</w:t>
      </w:r>
    </w:p>
    <w:p w14:paraId="0969A8DA" w14:textId="77777777" w:rsidR="00B90357" w:rsidRDefault="00B90357" w:rsidP="00B90357">
      <w:pPr>
        <w:rPr>
          <w:color w:val="002060"/>
          <w:sz w:val="24"/>
          <w:szCs w:val="24"/>
        </w:rPr>
      </w:pPr>
      <w:r>
        <w:rPr>
          <w:color w:val="002060"/>
          <w:sz w:val="24"/>
          <w:szCs w:val="24"/>
        </w:rPr>
        <w:t>The department may issue new CDLs when there is testing in place that ensures personal protective measures​ for applicants and examiners, and complies with guidance and recommendations related​ to COVID-19 provided by the CDC and the Minnesota Department of Health.</w:t>
      </w:r>
    </w:p>
    <w:p w14:paraId="357F74E9" w14:textId="77777777" w:rsidR="00B90357" w:rsidRDefault="00B90357" w:rsidP="00B90357">
      <w:pPr>
        <w:rPr>
          <w:color w:val="002060"/>
          <w:sz w:val="24"/>
          <w:szCs w:val="24"/>
        </w:rPr>
      </w:pPr>
    </w:p>
    <w:p w14:paraId="75B4CD95" w14:textId="77777777" w:rsidR="00B90357" w:rsidRDefault="00B90357" w:rsidP="00B90357">
      <w:pPr>
        <w:rPr>
          <w:color w:val="002060"/>
          <w:sz w:val="24"/>
          <w:szCs w:val="24"/>
        </w:rPr>
      </w:pPr>
      <w:r>
        <w:rPr>
          <w:color w:val="002060"/>
          <w:sz w:val="24"/>
          <w:szCs w:val="24"/>
        </w:rPr>
        <w:t>During the peacetime emergency:</w:t>
      </w:r>
    </w:p>
    <w:p w14:paraId="343FBD26" w14:textId="77777777" w:rsidR="00B90357" w:rsidRDefault="00B90357" w:rsidP="00B90357">
      <w:pPr>
        <w:pStyle w:val="ListParagraph"/>
        <w:numPr>
          <w:ilvl w:val="0"/>
          <w:numId w:val="28"/>
        </w:numPr>
        <w:contextualSpacing w:val="0"/>
        <w:rPr>
          <w:color w:val="002060"/>
          <w:sz w:val="24"/>
          <w:szCs w:val="24"/>
        </w:rPr>
      </w:pPr>
      <w:r>
        <w:rPr>
          <w:color w:val="002060"/>
          <w:sz w:val="24"/>
          <w:szCs w:val="24"/>
        </w:rPr>
        <w:t>The photo requirement for CDLs is waived and allows for use of a prior photograph on file with the department;</w:t>
      </w:r>
    </w:p>
    <w:p w14:paraId="0C482390" w14:textId="77777777" w:rsidR="00B90357" w:rsidRDefault="00B90357" w:rsidP="00B90357">
      <w:pPr>
        <w:pStyle w:val="ListParagraph"/>
        <w:numPr>
          <w:ilvl w:val="0"/>
          <w:numId w:val="28"/>
        </w:numPr>
        <w:contextualSpacing w:val="0"/>
        <w:rPr>
          <w:color w:val="002060"/>
          <w:sz w:val="24"/>
          <w:szCs w:val="24"/>
        </w:rPr>
      </w:pPr>
      <w:r>
        <w:rPr>
          <w:color w:val="002060"/>
          <w:sz w:val="24"/>
          <w:szCs w:val="24"/>
        </w:rPr>
        <w:t>the vision examination for CDLs is waived; and</w:t>
      </w:r>
    </w:p>
    <w:p w14:paraId="46890D19" w14:textId="77777777" w:rsidR="00B90357" w:rsidRDefault="00B90357" w:rsidP="00B90357">
      <w:pPr>
        <w:pStyle w:val="ListParagraph"/>
        <w:numPr>
          <w:ilvl w:val="0"/>
          <w:numId w:val="28"/>
        </w:numPr>
        <w:contextualSpacing w:val="0"/>
        <w:rPr>
          <w:color w:val="002060"/>
          <w:sz w:val="24"/>
          <w:szCs w:val="24"/>
        </w:rPr>
      </w:pPr>
      <w:r>
        <w:rPr>
          <w:color w:val="002060"/>
          <w:sz w:val="24"/>
          <w:szCs w:val="24"/>
        </w:rPr>
        <w:t>the expiration date of the license is the last day of the second​ consecutive month following the month in which the peacetime public health emergency​ period terminates.​</w:t>
      </w:r>
    </w:p>
    <w:p w14:paraId="12C8645B" w14:textId="77777777" w:rsidR="00B90357" w:rsidRDefault="00B90357" w:rsidP="00B90357">
      <w:pPr>
        <w:rPr>
          <w:color w:val="002060"/>
          <w:sz w:val="24"/>
          <w:szCs w:val="24"/>
        </w:rPr>
      </w:pPr>
    </w:p>
    <w:p w14:paraId="2CBEBC98" w14:textId="77777777" w:rsidR="00B90357" w:rsidRDefault="00B90357" w:rsidP="00B90357">
      <w:pPr>
        <w:rPr>
          <w:color w:val="002060"/>
          <w:sz w:val="24"/>
          <w:szCs w:val="24"/>
        </w:rPr>
      </w:pPr>
      <w:r>
        <w:rPr>
          <w:color w:val="002060"/>
          <w:sz w:val="24"/>
          <w:szCs w:val="24"/>
        </w:rPr>
        <w:t>When the peacetime emergency ends:</w:t>
      </w:r>
    </w:p>
    <w:p w14:paraId="2C55DC46" w14:textId="77777777" w:rsidR="00B90357" w:rsidRDefault="00B90357" w:rsidP="00B90357">
      <w:pPr>
        <w:pStyle w:val="ListParagraph"/>
        <w:numPr>
          <w:ilvl w:val="0"/>
          <w:numId w:val="29"/>
        </w:numPr>
        <w:contextualSpacing w:val="0"/>
        <w:rPr>
          <w:color w:val="002060"/>
          <w:sz w:val="24"/>
          <w:szCs w:val="24"/>
        </w:rPr>
      </w:pPr>
      <w:r>
        <w:rPr>
          <w:color w:val="002060"/>
          <w:sz w:val="24"/>
          <w:szCs w:val="24"/>
        </w:rPr>
        <w:t>the expiration date of the CDL is adjusted to the date that would otherwise apply, if the license holder:​</w:t>
      </w:r>
    </w:p>
    <w:p w14:paraId="74F04716" w14:textId="77777777" w:rsidR="00B90357" w:rsidRDefault="00B90357" w:rsidP="00B90357">
      <w:pPr>
        <w:pStyle w:val="ListParagraph"/>
        <w:numPr>
          <w:ilvl w:val="1"/>
          <w:numId w:val="29"/>
        </w:numPr>
        <w:contextualSpacing w:val="0"/>
        <w:rPr>
          <w:color w:val="002060"/>
          <w:sz w:val="24"/>
          <w:szCs w:val="24"/>
        </w:rPr>
      </w:pPr>
      <w:r>
        <w:rPr>
          <w:color w:val="002060"/>
          <w:sz w:val="24"/>
          <w:szCs w:val="24"/>
        </w:rPr>
        <w:t>arranges for an in-person photograph; and​</w:t>
      </w:r>
    </w:p>
    <w:p w14:paraId="40E41925" w14:textId="77777777" w:rsidR="00B90357" w:rsidRDefault="00B90357" w:rsidP="00B90357">
      <w:pPr>
        <w:pStyle w:val="ListParagraph"/>
        <w:numPr>
          <w:ilvl w:val="1"/>
          <w:numId w:val="29"/>
        </w:numPr>
        <w:contextualSpacing w:val="0"/>
        <w:rPr>
          <w:color w:val="002060"/>
          <w:sz w:val="24"/>
          <w:szCs w:val="24"/>
        </w:rPr>
      </w:pPr>
      <w:r>
        <w:rPr>
          <w:color w:val="002060"/>
          <w:sz w:val="24"/>
          <w:szCs w:val="24"/>
        </w:rPr>
        <w:t>passes a vision exam.</w:t>
      </w:r>
    </w:p>
    <w:p w14:paraId="09A5678D" w14:textId="77777777" w:rsidR="00E7358D" w:rsidRPr="00FB3204" w:rsidRDefault="00E7358D" w:rsidP="00FB3204"/>
    <w:sectPr w:rsidR="00E7358D" w:rsidRPr="00FB3204" w:rsidSect="00B437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39A4" w14:textId="77777777" w:rsidR="005F33B8" w:rsidRDefault="005F33B8" w:rsidP="00D91FF4">
      <w:r>
        <w:separator/>
      </w:r>
    </w:p>
  </w:endnote>
  <w:endnote w:type="continuationSeparator" w:id="0">
    <w:p w14:paraId="07B28453" w14:textId="77777777" w:rsidR="005F33B8" w:rsidRDefault="005F33B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5F94B" w14:textId="77777777" w:rsidR="004877B7" w:rsidRDefault="0048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3BE1" w14:textId="77777777" w:rsidR="007857F7" w:rsidRPr="004877B7" w:rsidRDefault="007857F7" w:rsidP="00487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FD46"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219E" w14:textId="77777777" w:rsidR="005F33B8" w:rsidRDefault="005F33B8" w:rsidP="00D91FF4">
      <w:r>
        <w:separator/>
      </w:r>
    </w:p>
  </w:footnote>
  <w:footnote w:type="continuationSeparator" w:id="0">
    <w:p w14:paraId="18D294E2" w14:textId="77777777" w:rsidR="005F33B8" w:rsidRDefault="005F33B8"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9347" w14:textId="77777777" w:rsidR="004877B7" w:rsidRDefault="00487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9CB0" w14:textId="77777777" w:rsidR="004877B7" w:rsidRDefault="00487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C036" w14:textId="77777777" w:rsidR="004877B7" w:rsidRDefault="00487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F54ED"/>
    <w:multiLevelType w:val="hybridMultilevel"/>
    <w:tmpl w:val="A74EF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7A9"/>
    <w:multiLevelType w:val="hybridMultilevel"/>
    <w:tmpl w:val="78B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18"/>
  </w:num>
  <w:num w:numId="5">
    <w:abstractNumId w:val="15"/>
  </w:num>
  <w:num w:numId="6">
    <w:abstractNumId w:val="4"/>
  </w:num>
  <w:num w:numId="7">
    <w:abstractNumId w:val="13"/>
  </w:num>
  <w:num w:numId="8">
    <w:abstractNumId w:val="7"/>
  </w:num>
  <w:num w:numId="9">
    <w:abstractNumId w:val="10"/>
  </w:num>
  <w:num w:numId="10">
    <w:abstractNumId w:val="2"/>
  </w:num>
  <w:num w:numId="11">
    <w:abstractNumId w:val="2"/>
  </w:num>
  <w:num w:numId="12">
    <w:abstractNumId w:val="22"/>
  </w:num>
  <w:num w:numId="13">
    <w:abstractNumId w:val="23"/>
  </w:num>
  <w:num w:numId="14">
    <w:abstractNumId w:val="14"/>
  </w:num>
  <w:num w:numId="15">
    <w:abstractNumId w:val="2"/>
  </w:num>
  <w:num w:numId="16">
    <w:abstractNumId w:val="23"/>
  </w:num>
  <w:num w:numId="17">
    <w:abstractNumId w:val="14"/>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9"/>
  </w:num>
  <w:num w:numId="25">
    <w:abstractNumId w:val="19"/>
  </w:num>
  <w:num w:numId="26">
    <w:abstractNumId w:val="20"/>
  </w:num>
  <w:num w:numId="27">
    <w:abstractNumId w:val="11"/>
  </w:num>
  <w:num w:numId="28">
    <w:abstractNumId w:val="17"/>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57"/>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76D46"/>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877B7"/>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33B8"/>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0357"/>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4ACD"/>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DD803"/>
  <w15:chartTrackingRefBased/>
  <w15:docId w15:val="{0062AED2-498B-46B6-8582-5E2BB9ED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357"/>
    <w:pPr>
      <w:spacing w:before="0" w:line="240" w:lineRule="auto"/>
    </w:pPr>
    <w:rPr>
      <w:rFonts w:eastAsiaTheme="minorHAnsi" w:cs="Calibri"/>
      <w:lang w:bidi="ar-SA"/>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4877B7"/>
    <w:pPr>
      <w:tabs>
        <w:tab w:val="center" w:pos="4680"/>
        <w:tab w:val="right" w:pos="9360"/>
      </w:tabs>
    </w:pPr>
  </w:style>
  <w:style w:type="character" w:customStyle="1" w:styleId="HeaderChar">
    <w:name w:val="Header Char"/>
    <w:basedOn w:val="DefaultParagraphFont"/>
    <w:link w:val="Header"/>
    <w:uiPriority w:val="99"/>
    <w:rsid w:val="004877B7"/>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4319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doc.house.leg.state.mn.us/leg/LS91/HF4556.0.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F29D-E1F9-400F-9882-AE07491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Mechtel, Beckey</dc:creator>
  <cp:keywords/>
  <dc:description/>
  <cp:lastModifiedBy>jbrunelle</cp:lastModifiedBy>
  <cp:revision>2</cp:revision>
  <dcterms:created xsi:type="dcterms:W3CDTF">2020-04-17T00:46:00Z</dcterms:created>
  <dcterms:modified xsi:type="dcterms:W3CDTF">2020-04-17T00:46:00Z</dcterms:modified>
</cp:coreProperties>
</file>