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54F" w14:textId="43D26A94" w:rsidR="00895C96" w:rsidRPr="00BB7EC8" w:rsidRDefault="004E4BA8" w:rsidP="00895C96">
      <w:pPr>
        <w:jc w:val="center"/>
        <w:rPr>
          <w:b/>
        </w:rPr>
      </w:pPr>
      <w:r w:rsidRPr="00BB7EC8">
        <w:rPr>
          <w:b/>
        </w:rPr>
        <w:t>We</w:t>
      </w:r>
      <w:r w:rsidR="00635188" w:rsidRPr="00BB7EC8">
        <w:rPr>
          <w:b/>
        </w:rPr>
        <w:t>sterville Area Chamber office 99 Commerce Park Dr. 43082</w:t>
      </w:r>
    </w:p>
    <w:p w14:paraId="5117D001" w14:textId="10E349FD" w:rsidR="00E6437B" w:rsidRPr="00BB7EC8" w:rsidRDefault="00895C96" w:rsidP="0D4E8637">
      <w:pPr>
        <w:jc w:val="center"/>
        <w:rPr>
          <w:b/>
          <w:bCs/>
        </w:rPr>
      </w:pPr>
      <w:r w:rsidRPr="00BB7EC8">
        <w:rPr>
          <w:b/>
          <w:bCs/>
        </w:rPr>
        <w:t>Agenda T</w:t>
      </w:r>
      <w:r w:rsidR="00617B9A" w:rsidRPr="00BB7EC8">
        <w:rPr>
          <w:b/>
          <w:bCs/>
        </w:rPr>
        <w:t xml:space="preserve">uesday, </w:t>
      </w:r>
      <w:r w:rsidR="00FF2C46" w:rsidRPr="00BB7EC8">
        <w:rPr>
          <w:b/>
          <w:bCs/>
        </w:rPr>
        <w:t>March</w:t>
      </w:r>
      <w:r w:rsidR="00C56BB1" w:rsidRPr="00BB7EC8">
        <w:rPr>
          <w:b/>
          <w:bCs/>
        </w:rPr>
        <w:t xml:space="preserve"> 7</w:t>
      </w:r>
      <w:r w:rsidR="00C06C18" w:rsidRPr="00BB7EC8">
        <w:rPr>
          <w:b/>
          <w:bCs/>
        </w:rPr>
        <w:t>, 2022,</w:t>
      </w:r>
      <w:r w:rsidRPr="00BB7EC8">
        <w:rPr>
          <w:b/>
          <w:bCs/>
        </w:rPr>
        <w:t xml:space="preserve"> 3:30</w:t>
      </w:r>
      <w:r w:rsidR="001B432D" w:rsidRPr="00BB7EC8">
        <w:rPr>
          <w:b/>
          <w:bCs/>
        </w:rPr>
        <w:t>-4:</w:t>
      </w:r>
      <w:r w:rsidR="00C56BB1" w:rsidRPr="00BB7EC8">
        <w:rPr>
          <w:b/>
          <w:bCs/>
        </w:rPr>
        <w:t>30</w:t>
      </w:r>
      <w:r w:rsidRPr="00BB7EC8">
        <w:rPr>
          <w:b/>
          <w:bCs/>
        </w:rPr>
        <w:t xml:space="preserve"> PM</w:t>
      </w:r>
    </w:p>
    <w:p w14:paraId="420300E8" w14:textId="0B34BC1C" w:rsidR="00540076" w:rsidRPr="00BB7EC8" w:rsidRDefault="00540076" w:rsidP="00FA20A1">
      <w:pPr>
        <w:ind w:right="-180"/>
      </w:pPr>
    </w:p>
    <w:p w14:paraId="330B73A8" w14:textId="6A2316FE" w:rsidR="00540076" w:rsidRPr="00BB7EC8" w:rsidRDefault="00540076" w:rsidP="00540076">
      <w:pPr>
        <w:ind w:right="-18"/>
        <w:rPr>
          <w:rStyle w:val="normaltextrun"/>
          <w:noProof/>
          <w:color w:val="000000"/>
        </w:rPr>
      </w:pPr>
      <w:r w:rsidRPr="00BB7EC8">
        <w:rPr>
          <w:b/>
          <w:bCs/>
          <w:i/>
          <w:iCs/>
        </w:rPr>
        <w:t>Attendees</w:t>
      </w:r>
      <w:r w:rsidRPr="00BB7EC8">
        <w:t xml:space="preserve">: </w:t>
      </w:r>
      <w:r w:rsidRPr="00BB7EC8">
        <w:rPr>
          <w:rStyle w:val="normaltextrun"/>
          <w:color w:val="000000"/>
          <w:shd w:val="clear" w:color="auto" w:fill="FFFFFF"/>
        </w:rPr>
        <w:t>Jeff Akers, Amy Balster, Polly Clavijo, Laura Hartman, Gene Hollins, Dr. John Kellogg, Brandon Lawson, Jeannie Mok, Michael McGreevy</w:t>
      </w:r>
      <w:r w:rsidR="00A14735" w:rsidRPr="00BB7EC8">
        <w:rPr>
          <w:rStyle w:val="normaltextrun"/>
          <w:color w:val="000000"/>
          <w:shd w:val="clear" w:color="auto" w:fill="FFFFFF"/>
        </w:rPr>
        <w:t xml:space="preserve">, and </w:t>
      </w:r>
      <w:r w:rsidRPr="00BB7EC8">
        <w:rPr>
          <w:rStyle w:val="normaltextrun"/>
          <w:color w:val="000000"/>
          <w:shd w:val="clear" w:color="auto" w:fill="FFFFFF"/>
        </w:rPr>
        <w:t xml:space="preserve">Staff member: Janet Tressler-Davis </w:t>
      </w:r>
    </w:p>
    <w:p w14:paraId="502A8B74" w14:textId="77777777" w:rsidR="00540076" w:rsidRPr="00BB7EC8" w:rsidRDefault="00540076" w:rsidP="00FA20A1">
      <w:pPr>
        <w:ind w:right="-180"/>
      </w:pPr>
    </w:p>
    <w:p w14:paraId="4EB0B9CF" w14:textId="79407B4C" w:rsidR="00F73D8B" w:rsidRPr="00BB7EC8" w:rsidRDefault="00CE187A" w:rsidP="00FA20A1">
      <w:pPr>
        <w:ind w:right="-180"/>
      </w:pPr>
      <w:r w:rsidRPr="00BB7EC8">
        <w:t>1. Welcome</w:t>
      </w:r>
      <w:r w:rsidR="00A14735" w:rsidRPr="00BB7EC8">
        <w:t xml:space="preserve"> –</w:t>
      </w:r>
      <w:r w:rsidR="00184EF1" w:rsidRPr="00BB7EC8">
        <w:t xml:space="preserve"> Introductions</w:t>
      </w:r>
      <w:r w:rsidR="00A14735" w:rsidRPr="00BB7EC8">
        <w:t xml:space="preserve">, </w:t>
      </w:r>
      <w:r w:rsidR="00C12332" w:rsidRPr="00BB7EC8">
        <w:t>Jeff</w:t>
      </w:r>
      <w:r w:rsidR="001B432D" w:rsidRPr="00BB7EC8">
        <w:t xml:space="preserve"> Akers</w:t>
      </w:r>
    </w:p>
    <w:p w14:paraId="47CD1A04" w14:textId="77777777" w:rsidR="00483FD6" w:rsidRPr="00BB7EC8" w:rsidRDefault="00483FD6" w:rsidP="00F73D8B">
      <w:pPr>
        <w:ind w:right="-378"/>
      </w:pPr>
    </w:p>
    <w:p w14:paraId="226BF1BB" w14:textId="2F1594D2" w:rsidR="00774C4B" w:rsidRPr="00BB7EC8" w:rsidRDefault="00483FD6" w:rsidP="00EE16A7">
      <w:pPr>
        <w:ind w:right="-684"/>
      </w:pPr>
      <w:r w:rsidRPr="00BB7EC8">
        <w:t>2</w:t>
      </w:r>
      <w:r w:rsidR="00EE16A7" w:rsidRPr="00BB7EC8">
        <w:t xml:space="preserve">. </w:t>
      </w:r>
      <w:r w:rsidR="00600E84" w:rsidRPr="00BB7EC8">
        <w:t xml:space="preserve">Members of </w:t>
      </w:r>
      <w:r w:rsidR="00540076" w:rsidRPr="00BB7EC8">
        <w:t>Committee T</w:t>
      </w:r>
      <w:r w:rsidR="00600E84" w:rsidRPr="00BB7EC8">
        <w:t>eams</w:t>
      </w:r>
      <w:r w:rsidR="00FE3085" w:rsidRPr="00BB7EC8">
        <w:t xml:space="preserve">  </w:t>
      </w:r>
    </w:p>
    <w:p w14:paraId="22256A74" w14:textId="0E55C21D" w:rsidR="00774C4B" w:rsidRPr="00BB7EC8" w:rsidRDefault="00774C4B" w:rsidP="00774C4B">
      <w:pPr>
        <w:numPr>
          <w:ilvl w:val="0"/>
          <w:numId w:val="8"/>
        </w:numPr>
        <w:ind w:left="990" w:hanging="270"/>
      </w:pPr>
      <w:r w:rsidRPr="00BB7EC8">
        <w:t>Healthcare</w:t>
      </w:r>
      <w:r w:rsidR="00483FD6" w:rsidRPr="00BB7EC8">
        <w:t xml:space="preserve"> – Andy</w:t>
      </w:r>
      <w:r w:rsidR="00E77549" w:rsidRPr="00BB7EC8">
        <w:t xml:space="preserve"> H.</w:t>
      </w:r>
    </w:p>
    <w:p w14:paraId="10719D9D" w14:textId="5E85A1B2" w:rsidR="00774C4B" w:rsidRPr="00BB7EC8" w:rsidRDefault="00774C4B" w:rsidP="00774C4B">
      <w:pPr>
        <w:numPr>
          <w:ilvl w:val="0"/>
          <w:numId w:val="8"/>
        </w:numPr>
        <w:ind w:left="990" w:hanging="270"/>
      </w:pPr>
      <w:r w:rsidRPr="00BB7EC8">
        <w:t>Taxation/Worker’s Comp.</w:t>
      </w:r>
      <w:r w:rsidR="00CB4565" w:rsidRPr="00BB7EC8">
        <w:t xml:space="preserve"> </w:t>
      </w:r>
      <w:r w:rsidR="00CC3FE6" w:rsidRPr="00BB7EC8">
        <w:t>Brandon/Charlene</w:t>
      </w:r>
    </w:p>
    <w:p w14:paraId="47990CDE" w14:textId="62D91D24" w:rsidR="00A14735" w:rsidRPr="00BB7EC8" w:rsidRDefault="00A14735" w:rsidP="00A14735">
      <w:pPr>
        <w:numPr>
          <w:ilvl w:val="1"/>
          <w:numId w:val="8"/>
        </w:numPr>
      </w:pPr>
      <w:r w:rsidRPr="00BB7EC8">
        <w:t>At the federal level, the elimination of a non-compete clause is going through the process.</w:t>
      </w:r>
      <w:r w:rsidR="00BB7EC8" w:rsidRPr="00BB7EC8">
        <w:t xml:space="preserve"> Please see the language of the proposed rule and an article from the Ohio Chamber of Commerce at the bottom of these minutes.</w:t>
      </w:r>
    </w:p>
    <w:p w14:paraId="0468470D" w14:textId="3F7773C3" w:rsidR="00AB4C17" w:rsidRPr="00BB7EC8" w:rsidRDefault="009D57CF" w:rsidP="00AB4C17">
      <w:pPr>
        <w:numPr>
          <w:ilvl w:val="1"/>
          <w:numId w:val="8"/>
        </w:numPr>
      </w:pPr>
      <w:hyperlink r:id="rId11" w:history="1">
        <w:r w:rsidR="00AB4C17" w:rsidRPr="00BB7EC8">
          <w:rPr>
            <w:rStyle w:val="Hyperlink"/>
          </w:rPr>
          <w:t xml:space="preserve">State </w:t>
        </w:r>
        <w:r w:rsidR="00A14735" w:rsidRPr="00BB7EC8">
          <w:rPr>
            <w:rStyle w:val="Hyperlink"/>
          </w:rPr>
          <w:t>HB1: Property tax roll-back</w:t>
        </w:r>
      </w:hyperlink>
      <w:r w:rsidR="00A14735" w:rsidRPr="00BB7EC8">
        <w:t xml:space="preserve"> – the State currently picks up 10% of every resident’s property tax. The State proposed a different funding solution for the setback. For WCSD, if this goes through, it will go cause a $12.5 shortage from levy funds. </w:t>
      </w:r>
    </w:p>
    <w:p w14:paraId="01F48E4D" w14:textId="0E359177" w:rsidR="00AB4C17" w:rsidRPr="00BB7EC8" w:rsidRDefault="009D57CF" w:rsidP="00AB4C17">
      <w:pPr>
        <w:numPr>
          <w:ilvl w:val="1"/>
          <w:numId w:val="8"/>
        </w:numPr>
      </w:pPr>
      <w:hyperlink r:id="rId12" w:history="1">
        <w:r w:rsidR="00AB4C17" w:rsidRPr="00BB7EC8">
          <w:rPr>
            <w:rStyle w:val="Hyperlink"/>
          </w:rPr>
          <w:t>State SB1: School Board of Education language</w:t>
        </w:r>
      </w:hyperlink>
      <w:r w:rsidR="00AB4C17" w:rsidRPr="00BB7EC8">
        <w:t xml:space="preserve">- </w:t>
      </w:r>
      <w:r w:rsidR="00BB7EC8" w:rsidRPr="00BB7EC8">
        <w:t>to continue the changes on and after that date to rename the Department of Education as the Department of Education and Workforce; to create the position of Director of Education and Workforce; and to reform the functions and responsibilities of the State Board of Education and the Superintendent of Public Instruction.</w:t>
      </w:r>
    </w:p>
    <w:p w14:paraId="71B84FB9" w14:textId="2CE7FE75" w:rsidR="00C72CAE" w:rsidRPr="00BB7EC8" w:rsidRDefault="00774C4B" w:rsidP="00774C4B">
      <w:pPr>
        <w:numPr>
          <w:ilvl w:val="0"/>
          <w:numId w:val="8"/>
        </w:numPr>
        <w:ind w:left="990" w:hanging="270"/>
      </w:pPr>
      <w:r w:rsidRPr="00BB7EC8">
        <w:t xml:space="preserve">Workforce: </w:t>
      </w:r>
      <w:r w:rsidR="00C12332" w:rsidRPr="00BB7EC8">
        <w:t>WorkWISE</w:t>
      </w:r>
      <w:r w:rsidR="00AB4C17" w:rsidRPr="00BB7EC8">
        <w:t xml:space="preserve"> –</w:t>
      </w:r>
      <w:r w:rsidR="00C12332" w:rsidRPr="00BB7EC8">
        <w:t xml:space="preserve"> </w:t>
      </w:r>
      <w:r w:rsidR="00483FD6" w:rsidRPr="00BB7EC8">
        <w:t>John/Janet</w:t>
      </w:r>
      <w:r w:rsidR="00CB4565" w:rsidRPr="00BB7EC8">
        <w:t>/Gene</w:t>
      </w:r>
    </w:p>
    <w:p w14:paraId="682FE07F" w14:textId="06A9EEAE" w:rsidR="005A6DEB" w:rsidRPr="00BB7EC8" w:rsidRDefault="00C56BB1" w:rsidP="005A6DEB">
      <w:pPr>
        <w:numPr>
          <w:ilvl w:val="1"/>
          <w:numId w:val="8"/>
        </w:numPr>
      </w:pPr>
      <w:r w:rsidRPr="00BB7EC8">
        <w:t>Westerville Prepare</w:t>
      </w:r>
      <w:r w:rsidR="005A6DEB" w:rsidRPr="00BB7EC8">
        <w:t>d</w:t>
      </w:r>
      <w:r w:rsidR="00A14735" w:rsidRPr="00BB7EC8">
        <w:t xml:space="preserve"> –</w:t>
      </w:r>
      <w:r w:rsidR="4FE3CECF" w:rsidRPr="00BB7EC8">
        <w:t xml:space="preserve"> May</w:t>
      </w:r>
      <w:r w:rsidR="00A14735" w:rsidRPr="00BB7EC8">
        <w:t xml:space="preserve"> </w:t>
      </w:r>
      <w:r w:rsidR="4FE3CECF" w:rsidRPr="00BB7EC8">
        <w:t>Westerville Works Week</w:t>
      </w:r>
    </w:p>
    <w:p w14:paraId="40364441" w14:textId="3BFA6E0A" w:rsidR="00AB4C17" w:rsidRPr="00BB7EC8" w:rsidRDefault="00AB4C17" w:rsidP="00AB4C17">
      <w:pPr>
        <w:numPr>
          <w:ilvl w:val="2"/>
          <w:numId w:val="8"/>
        </w:numPr>
      </w:pPr>
      <w:r w:rsidRPr="00BB7EC8">
        <w:t>Wednesday, May 17</w:t>
      </w:r>
      <w:r w:rsidRPr="00BB7EC8">
        <w:rPr>
          <w:vertAlign w:val="superscript"/>
        </w:rPr>
        <w:t>th</w:t>
      </w:r>
      <w:r w:rsidRPr="00BB7EC8">
        <w:t xml:space="preserve"> – 2</w:t>
      </w:r>
      <w:r w:rsidRPr="00BB7EC8">
        <w:rPr>
          <w:vertAlign w:val="superscript"/>
        </w:rPr>
        <w:t>nd</w:t>
      </w:r>
      <w:r w:rsidRPr="00BB7EC8">
        <w:t xml:space="preserve"> Annual Westerville Prepared event</w:t>
      </w:r>
    </w:p>
    <w:p w14:paraId="7A1223BC" w14:textId="77777777" w:rsidR="005A6DEB" w:rsidRPr="00BB7EC8" w:rsidRDefault="005A6DEB" w:rsidP="005A6DEB">
      <w:pPr>
        <w:ind w:left="1485"/>
      </w:pPr>
    </w:p>
    <w:p w14:paraId="7B7C521A" w14:textId="115C4702" w:rsidR="0068460B" w:rsidRPr="00BB7EC8" w:rsidRDefault="00907C84" w:rsidP="03F319F0">
      <w:r w:rsidRPr="00BB7EC8">
        <w:t>3.</w:t>
      </w:r>
      <w:r w:rsidR="1C834FB3" w:rsidRPr="00BB7EC8">
        <w:t xml:space="preserve"> Legislative Roundtable, April 20, 8:00 AM</w:t>
      </w:r>
      <w:r w:rsidR="00540076" w:rsidRPr="00BB7EC8">
        <w:t>, Janet</w:t>
      </w:r>
    </w:p>
    <w:p w14:paraId="1C1CD53F" w14:textId="6685C181" w:rsidR="00AB4C17" w:rsidRPr="00BB7EC8" w:rsidRDefault="00AB4C17" w:rsidP="00AB4C17">
      <w:pPr>
        <w:pStyle w:val="ListParagraph"/>
        <w:numPr>
          <w:ilvl w:val="0"/>
          <w:numId w:val="23"/>
        </w:numPr>
      </w:pPr>
      <w:r w:rsidRPr="00BB7EC8">
        <w:t xml:space="preserve">Invitation-only event – present for the event will be two State reps, a County rep, a City rep, and a Genoa </w:t>
      </w:r>
      <w:proofErr w:type="spellStart"/>
      <w:r w:rsidRPr="00BB7EC8">
        <w:t>Twsp</w:t>
      </w:r>
      <w:proofErr w:type="spellEnd"/>
      <w:r w:rsidRPr="00BB7EC8">
        <w:t xml:space="preserve"> rep. </w:t>
      </w:r>
    </w:p>
    <w:p w14:paraId="0DA5DC1D" w14:textId="261F3213" w:rsidR="0068460B" w:rsidRPr="00BB7EC8" w:rsidRDefault="0068460B" w:rsidP="03F319F0"/>
    <w:p w14:paraId="75947B86" w14:textId="2029E991" w:rsidR="00003CBD" w:rsidRPr="00BB7EC8" w:rsidRDefault="7149348E" w:rsidP="03F319F0">
      <w:r w:rsidRPr="00BB7EC8">
        <w:t xml:space="preserve">4. </w:t>
      </w:r>
      <w:r w:rsidR="00FF2C46" w:rsidRPr="00BB7EC8">
        <w:t xml:space="preserve">City </w:t>
      </w:r>
      <w:r w:rsidR="005A6DEB" w:rsidRPr="00BB7EC8">
        <w:t>Ec</w:t>
      </w:r>
      <w:r w:rsidR="58DC9B3D" w:rsidRPr="00BB7EC8">
        <w:t>.</w:t>
      </w:r>
      <w:r w:rsidR="005A6DEB" w:rsidRPr="00BB7EC8">
        <w:t xml:space="preserve"> Dev</w:t>
      </w:r>
      <w:r w:rsidR="502A12EC" w:rsidRPr="00BB7EC8">
        <w:t xml:space="preserve">., </w:t>
      </w:r>
      <w:r w:rsidR="005A6DEB" w:rsidRPr="00BB7EC8">
        <w:t xml:space="preserve">WorkWISE and </w:t>
      </w:r>
      <w:r w:rsidR="00FF2C46" w:rsidRPr="00BB7EC8">
        <w:t>Zoning Update</w:t>
      </w:r>
      <w:r w:rsidR="00540076" w:rsidRPr="00BB7EC8">
        <w:t xml:space="preserve">, </w:t>
      </w:r>
      <w:r w:rsidR="005A6DEB" w:rsidRPr="00BB7EC8">
        <w:t xml:space="preserve">Rachel </w:t>
      </w:r>
      <w:r w:rsidR="32F2CA67" w:rsidRPr="00BB7EC8">
        <w:t>Ray</w:t>
      </w:r>
      <w:r w:rsidR="00540076" w:rsidRPr="00BB7EC8">
        <w:t>, City of Westerville Econ. Dev. Dir.</w:t>
      </w:r>
      <w:r w:rsidR="00AB4C17" w:rsidRPr="00BB7EC8">
        <w:t>, and Janet</w:t>
      </w:r>
    </w:p>
    <w:p w14:paraId="7DF0FEBC" w14:textId="2A5D7AD0" w:rsidR="00AB4C17" w:rsidRPr="00BB7EC8" w:rsidRDefault="00AB4C17" w:rsidP="00AB4C17">
      <w:pPr>
        <w:pStyle w:val="ListParagraph"/>
        <w:numPr>
          <w:ilvl w:val="0"/>
          <w:numId w:val="23"/>
        </w:numPr>
      </w:pPr>
      <w:r w:rsidRPr="00BB7EC8">
        <w:t xml:space="preserve">The </w:t>
      </w:r>
      <w:proofErr w:type="spellStart"/>
      <w:r w:rsidRPr="00BB7EC8">
        <w:t>SlideDeck</w:t>
      </w:r>
      <w:proofErr w:type="spellEnd"/>
      <w:r w:rsidRPr="00BB7EC8">
        <w:t xml:space="preserve"> will be provided with the meeting minutes. </w:t>
      </w:r>
    </w:p>
    <w:p w14:paraId="5F3D4C03" w14:textId="6739B8C5" w:rsidR="008950DE" w:rsidRPr="00BB7EC8" w:rsidRDefault="008950DE" w:rsidP="00AB4C17">
      <w:pPr>
        <w:pStyle w:val="ListParagraph"/>
        <w:numPr>
          <w:ilvl w:val="0"/>
          <w:numId w:val="23"/>
        </w:numPr>
      </w:pPr>
      <w:r w:rsidRPr="00BB7EC8">
        <w:t>Businesses that would like to engage in this work are welcome to contact Janet.</w:t>
      </w:r>
    </w:p>
    <w:p w14:paraId="050681F9" w14:textId="659C1499" w:rsidR="008950DE" w:rsidRPr="00BB7EC8" w:rsidRDefault="009D57CF" w:rsidP="00D36164">
      <w:pPr>
        <w:pStyle w:val="ListParagraph"/>
        <w:numPr>
          <w:ilvl w:val="0"/>
          <w:numId w:val="23"/>
        </w:numPr>
      </w:pPr>
      <w:hyperlink r:id="rId13" w:history="1">
        <w:r w:rsidR="008950DE" w:rsidRPr="00BB7EC8">
          <w:rPr>
            <w:rStyle w:val="Hyperlink"/>
          </w:rPr>
          <w:t>www.westerville.org/workwise</w:t>
        </w:r>
      </w:hyperlink>
      <w:r w:rsidR="008950DE" w:rsidRPr="00BB7EC8">
        <w:t xml:space="preserve"> </w:t>
      </w:r>
    </w:p>
    <w:p w14:paraId="58950AAF" w14:textId="77777777" w:rsidR="00540076" w:rsidRPr="00BB7EC8" w:rsidRDefault="00540076" w:rsidP="03F319F0"/>
    <w:p w14:paraId="2CCCFA0D" w14:textId="72D4E7A6" w:rsidR="003F1D74" w:rsidRPr="00BB7EC8" w:rsidRDefault="23199D3F" w:rsidP="005D6397">
      <w:pPr>
        <w:ind w:right="-144"/>
      </w:pPr>
      <w:r w:rsidRPr="00BB7EC8">
        <w:t>5</w:t>
      </w:r>
      <w:r w:rsidR="009345DE" w:rsidRPr="00BB7EC8">
        <w:t xml:space="preserve">. </w:t>
      </w:r>
      <w:r w:rsidR="003F1D74" w:rsidRPr="00BB7EC8">
        <w:t xml:space="preserve">Future Meeting Topics </w:t>
      </w:r>
    </w:p>
    <w:p w14:paraId="5F2D9D99" w14:textId="1ED27BEC" w:rsidR="4E270270" w:rsidRPr="00BB7EC8" w:rsidRDefault="002714BA" w:rsidP="03F319F0">
      <w:pPr>
        <w:pStyle w:val="ListParagraph"/>
        <w:numPr>
          <w:ilvl w:val="0"/>
          <w:numId w:val="19"/>
        </w:numPr>
        <w:ind w:right="-684"/>
      </w:pPr>
      <w:r w:rsidRPr="00BB7EC8">
        <w:rPr>
          <w:b/>
          <w:bCs/>
        </w:rPr>
        <w:t>APRIL MTG:</w:t>
      </w:r>
      <w:r w:rsidRPr="00BB7EC8">
        <w:t xml:space="preserve"> </w:t>
      </w:r>
      <w:r w:rsidR="4E270270" w:rsidRPr="00BB7EC8">
        <w:t>Boyette Strategic Advisors</w:t>
      </w:r>
      <w:r w:rsidR="008950DE" w:rsidRPr="00BB7EC8">
        <w:t xml:space="preserve"> –</w:t>
      </w:r>
      <w:r w:rsidR="4E270270" w:rsidRPr="00BB7EC8">
        <w:t xml:space="preserve"> your</w:t>
      </w:r>
      <w:r w:rsidR="008950DE" w:rsidRPr="00BB7EC8">
        <w:t xml:space="preserve"> </w:t>
      </w:r>
      <w:r w:rsidR="4E270270" w:rsidRPr="00BB7EC8">
        <w:t>input on advancing the growth of our bu</w:t>
      </w:r>
      <w:r w:rsidR="5344DF5A" w:rsidRPr="00BB7EC8">
        <w:t xml:space="preserve">s. </w:t>
      </w:r>
      <w:r w:rsidR="00D36164" w:rsidRPr="00BB7EC8">
        <w:t>C</w:t>
      </w:r>
      <w:r w:rsidR="5344DF5A" w:rsidRPr="00BB7EC8">
        <w:t>ommunity</w:t>
      </w:r>
    </w:p>
    <w:p w14:paraId="1FF2E64F" w14:textId="3BF2BB39" w:rsidR="00D36164" w:rsidRPr="00BB7EC8" w:rsidRDefault="00D36164" w:rsidP="00D36164">
      <w:pPr>
        <w:pStyle w:val="ListParagraph"/>
        <w:numPr>
          <w:ilvl w:val="1"/>
          <w:numId w:val="19"/>
        </w:numPr>
        <w:ind w:right="-684"/>
      </w:pPr>
      <w:r w:rsidRPr="00BB7EC8">
        <w:t xml:space="preserve">Members of the BIOP Committee will join us. </w:t>
      </w:r>
    </w:p>
    <w:p w14:paraId="220D677B" w14:textId="2725D197" w:rsidR="4213DA11" w:rsidRPr="00BB7EC8" w:rsidRDefault="008950DE" w:rsidP="03F319F0">
      <w:pPr>
        <w:pStyle w:val="ListParagraph"/>
        <w:numPr>
          <w:ilvl w:val="0"/>
          <w:numId w:val="19"/>
        </w:numPr>
        <w:ind w:right="-684"/>
      </w:pPr>
      <w:r w:rsidRPr="00BB7EC8">
        <w:rPr>
          <w:b/>
          <w:bCs/>
        </w:rPr>
        <w:t>MAY MTG:</w:t>
      </w:r>
      <w:r w:rsidRPr="00BB7EC8">
        <w:t xml:space="preserve"> </w:t>
      </w:r>
      <w:r w:rsidR="4213DA11" w:rsidRPr="00BB7EC8">
        <w:t>COTA Update and future projects</w:t>
      </w:r>
    </w:p>
    <w:p w14:paraId="30D7529B" w14:textId="2FCF2606" w:rsidR="00E65B09" w:rsidRPr="00BB7EC8" w:rsidRDefault="00B9103E" w:rsidP="003717B2">
      <w:pPr>
        <w:pStyle w:val="ListParagraph"/>
        <w:numPr>
          <w:ilvl w:val="0"/>
          <w:numId w:val="19"/>
        </w:numPr>
        <w:ind w:right="-684"/>
      </w:pPr>
      <w:r w:rsidRPr="00BB7EC8">
        <w:t>State Budget</w:t>
      </w:r>
      <w:r w:rsidR="008950DE" w:rsidRPr="00BB7EC8">
        <w:t xml:space="preserve"> from the Ohio Chamber’s perspective</w:t>
      </w:r>
    </w:p>
    <w:p w14:paraId="38F271FF" w14:textId="5AD7C213" w:rsidR="00D36164" w:rsidRPr="00BB7EC8" w:rsidRDefault="00D36164" w:rsidP="003717B2">
      <w:pPr>
        <w:pStyle w:val="ListParagraph"/>
        <w:numPr>
          <w:ilvl w:val="0"/>
          <w:numId w:val="19"/>
        </w:numPr>
        <w:ind w:right="-684"/>
      </w:pPr>
      <w:r w:rsidRPr="00BB7EC8">
        <w:t>August MTG: Recess for this month</w:t>
      </w:r>
    </w:p>
    <w:p w14:paraId="2B21A842" w14:textId="77777777" w:rsidR="00540076" w:rsidRPr="00BB7EC8" w:rsidRDefault="00540076" w:rsidP="00540076">
      <w:pPr>
        <w:ind w:right="-684"/>
      </w:pPr>
    </w:p>
    <w:p w14:paraId="79C0FD6D" w14:textId="6E9A991B" w:rsidR="00540076" w:rsidRPr="00BB7EC8" w:rsidRDefault="00540076" w:rsidP="00540076">
      <w:pPr>
        <w:ind w:right="-684"/>
      </w:pPr>
      <w:r w:rsidRPr="00BB7EC8">
        <w:t>6. Tuesday, April 4</w:t>
      </w:r>
      <w:r w:rsidRPr="00BB7EC8">
        <w:rPr>
          <w:vertAlign w:val="superscript"/>
        </w:rPr>
        <w:t>th</w:t>
      </w:r>
      <w:r w:rsidRPr="00BB7EC8">
        <w:t xml:space="preserve"> at 3:30</w:t>
      </w:r>
      <w:r w:rsidR="00AB4C17" w:rsidRPr="00BB7EC8">
        <w:t xml:space="preserve"> </w:t>
      </w:r>
      <w:r w:rsidRPr="00BB7EC8">
        <w:t>PM – The Business Advocacy Council meets the first Tuesday of every month</w:t>
      </w:r>
    </w:p>
    <w:p w14:paraId="3BF084EA" w14:textId="77777777" w:rsidR="00BB7EC8" w:rsidRPr="00BB7EC8" w:rsidRDefault="00BB7EC8" w:rsidP="00540076">
      <w:pPr>
        <w:ind w:right="-684"/>
      </w:pPr>
    </w:p>
    <w:p w14:paraId="60EC4DFE" w14:textId="25795275" w:rsidR="005C3FCD" w:rsidRPr="00BB7EC8" w:rsidRDefault="00540076" w:rsidP="00540076">
      <w:pPr>
        <w:tabs>
          <w:tab w:val="left" w:pos="720"/>
          <w:tab w:val="left" w:pos="1440"/>
          <w:tab w:val="left" w:pos="2160"/>
          <w:tab w:val="left" w:pos="2880"/>
          <w:tab w:val="left" w:pos="7500"/>
        </w:tabs>
        <w:ind w:right="-684"/>
      </w:pPr>
      <w:r w:rsidRPr="00BB7EC8">
        <w:t>7. Adjourn</w:t>
      </w:r>
    </w:p>
    <w:p w14:paraId="1F5CB1D9" w14:textId="77777777" w:rsidR="00BB7EC8" w:rsidRPr="00BB7EC8" w:rsidRDefault="00BB7EC8"/>
    <w:p w14:paraId="45D745B9" w14:textId="77777777" w:rsidR="00BB7EC8" w:rsidRPr="00BB7EC8" w:rsidRDefault="00BB7EC8">
      <w:pPr>
        <w:rPr>
          <w:b/>
          <w:bCs/>
          <w:color w:val="333333"/>
        </w:rPr>
      </w:pPr>
      <w:r w:rsidRPr="00BB7EC8">
        <w:rPr>
          <w:b/>
          <w:bCs/>
          <w:color w:val="333333"/>
        </w:rPr>
        <w:br w:type="page"/>
      </w:r>
    </w:p>
    <w:p w14:paraId="421FA5C0" w14:textId="356D86C0" w:rsidR="00BB7EC8" w:rsidRPr="00BB7EC8" w:rsidRDefault="00BB7EC8" w:rsidP="00BB7EC8">
      <w:pPr>
        <w:shd w:val="clear" w:color="auto" w:fill="FFFFFF"/>
        <w:spacing w:before="300" w:after="150"/>
        <w:outlineLvl w:val="2"/>
        <w:rPr>
          <w:b/>
          <w:bCs/>
          <w:color w:val="333333"/>
        </w:rPr>
      </w:pPr>
      <w:r w:rsidRPr="00BB7EC8">
        <w:rPr>
          <w:b/>
          <w:bCs/>
          <w:color w:val="333333"/>
        </w:rPr>
        <w:lastRenderedPageBreak/>
        <w:t>I. Overview of the Proposed Rule</w:t>
      </w:r>
    </w:p>
    <w:p w14:paraId="5326A15F" w14:textId="77777777" w:rsidR="00BB7EC8" w:rsidRPr="00BB7EC8" w:rsidRDefault="00BB7EC8" w:rsidP="00BB7EC8">
      <w:pPr>
        <w:shd w:val="clear" w:color="auto" w:fill="FFFFFF"/>
        <w:spacing w:after="150"/>
        <w:rPr>
          <w:color w:val="333333"/>
        </w:rPr>
      </w:pPr>
      <w:r w:rsidRPr="00BB7EC8">
        <w:rPr>
          <w:color w:val="333333"/>
        </w:rPr>
        <w:t>A non-compete clause is a contractual term between an employer and a worker that typically blocks the worker from working for a competing employer, or starting a competing business, within a certain geographic area and period of time after the worker's employment ends. Non-compete clauses limit competition by their express terms. As a result, non-compete clauses have always been considered proper subjects for scrutiny under the nation's antitrust laws. </w:t>
      </w:r>
      <w:r w:rsidRPr="00BB7EC8">
        <w:rPr>
          <w:color w:val="333333"/>
          <w:vertAlign w:val="superscript"/>
        </w:rPr>
        <w:t>(1) </w:t>
      </w:r>
      <w:r w:rsidRPr="00BB7EC8">
        <w:rPr>
          <w:color w:val="333333"/>
        </w:rPr>
        <w:t>In addition, non-compete clauses between employers and workers are traditionally subject to more exacting review under state common law than other contractual terms, due, in part, to concerns about unequal bargaining power between employers and workers and the fact that non-compete clauses limit a worker's ability to practice their trade. </w:t>
      </w:r>
      <w:r w:rsidRPr="00BB7EC8">
        <w:rPr>
          <w:color w:val="333333"/>
          <w:vertAlign w:val="superscript"/>
        </w:rPr>
        <w:t>(2)</w:t>
      </w:r>
    </w:p>
    <w:p w14:paraId="0C09A590" w14:textId="77777777" w:rsidR="00BB7EC8" w:rsidRPr="00BB7EC8" w:rsidRDefault="00BB7EC8" w:rsidP="00BB7EC8">
      <w:pPr>
        <w:shd w:val="clear" w:color="auto" w:fill="FFFFFF"/>
        <w:spacing w:after="150"/>
        <w:rPr>
          <w:color w:val="333333"/>
        </w:rPr>
      </w:pPr>
      <w:r w:rsidRPr="00BB7EC8">
        <w:rPr>
          <w:color w:val="333333"/>
        </w:rPr>
        <w:t>In recent decades, important research has shed light on how the use of non-compete clauses by employers affects competition. Changes in state laws governing non-compete clauses have provided several natural experiments that have allowed researchers to study the impact of non-compete clauses on competition. This research has shown the use of non-compete clauses by employers has negatively affected competition in labor markets, resulting in reduced wages for workers across the labor force—including workers not bound by non-compete clauses. </w:t>
      </w:r>
      <w:r w:rsidRPr="00BB7EC8">
        <w:rPr>
          <w:color w:val="333333"/>
          <w:vertAlign w:val="superscript"/>
        </w:rPr>
        <w:t>(3) </w:t>
      </w:r>
      <w:r w:rsidRPr="00BB7EC8">
        <w:rPr>
          <w:color w:val="333333"/>
        </w:rPr>
        <w:t>This research has also shown that, by suppressing labor mobility, non-compete clauses have negatively affected competition in product and service markets in several ways. </w:t>
      </w:r>
      <w:r w:rsidRPr="00BB7EC8">
        <w:rPr>
          <w:color w:val="333333"/>
          <w:vertAlign w:val="superscript"/>
        </w:rPr>
        <w:t>(4)</w:t>
      </w:r>
    </w:p>
    <w:p w14:paraId="692135F0" w14:textId="77777777" w:rsidR="00BB7EC8" w:rsidRPr="00BB7EC8" w:rsidRDefault="00BB7EC8" w:rsidP="00BB7EC8">
      <w:pPr>
        <w:shd w:val="clear" w:color="auto" w:fill="FFFFFF"/>
        <w:spacing w:after="150"/>
        <w:rPr>
          <w:color w:val="333333"/>
        </w:rPr>
      </w:pPr>
      <w:r w:rsidRPr="00BB7EC8">
        <w:rPr>
          <w:color w:val="333333"/>
        </w:rPr>
        <w:t>In this rulemaking, the Commission seeks to ensure competition policy is aligned with the current economic evidence about the consequences of non-compete clauses. In the Commission's view, the existing legal frameworks governing non-compete clauses—formed decades ago, without the benefit of this evidence—allow serious anticompetitive harm to labor, product, and service markets to go unchecked.</w:t>
      </w:r>
    </w:p>
    <w:p w14:paraId="3A1F33F8" w14:textId="77777777" w:rsidR="00BB7EC8" w:rsidRPr="00BB7EC8" w:rsidRDefault="00BB7EC8" w:rsidP="00BB7EC8">
      <w:pPr>
        <w:shd w:val="clear" w:color="auto" w:fill="FFFFFF"/>
        <w:spacing w:after="150"/>
        <w:rPr>
          <w:color w:val="333333"/>
        </w:rPr>
      </w:pPr>
      <w:r w:rsidRPr="00BB7EC8">
        <w:rPr>
          <w:color w:val="333333"/>
        </w:rPr>
        <w:t>Section 5 of the Federal Trade Commission Act (“FTC Act”) declares “unfair methods of competition” to be unlawful. </w:t>
      </w:r>
      <w:r w:rsidRPr="00BB7EC8">
        <w:rPr>
          <w:color w:val="333333"/>
          <w:vertAlign w:val="superscript"/>
        </w:rPr>
        <w:t>(5) </w:t>
      </w:r>
      <w:r w:rsidRPr="00BB7EC8">
        <w:rPr>
          <w:color w:val="333333"/>
        </w:rPr>
        <w:t>Section 5 further directs the Commission “to prevent persons, partnerships, or corporations . . . from using unfair methods of competition in or affecting commerce.”  </w:t>
      </w:r>
      <w:r w:rsidRPr="00BB7EC8">
        <w:rPr>
          <w:color w:val="333333"/>
          <w:vertAlign w:val="superscript"/>
        </w:rPr>
        <w:t>(6) </w:t>
      </w:r>
      <w:r w:rsidRPr="00BB7EC8">
        <w:rPr>
          <w:color w:val="333333"/>
        </w:rPr>
        <w:t>Section 6(g) of the FTC Act authorizes the Commission to “make rules and regulations for the purpose of carrying out the provisions of” the FTC Act, including the Act's prohibition of unfair methods of competition. </w:t>
      </w:r>
      <w:r w:rsidRPr="00BB7EC8">
        <w:rPr>
          <w:color w:val="333333"/>
          <w:vertAlign w:val="superscript"/>
        </w:rPr>
        <w:t>(7)</w:t>
      </w:r>
    </w:p>
    <w:p w14:paraId="5A198DA1" w14:textId="77777777" w:rsidR="00BB7EC8" w:rsidRPr="00BB7EC8" w:rsidRDefault="00BB7EC8" w:rsidP="00BB7EC8">
      <w:pPr>
        <w:shd w:val="clear" w:color="auto" w:fill="FFFFFF"/>
        <w:spacing w:after="150"/>
        <w:rPr>
          <w:color w:val="333333"/>
        </w:rPr>
      </w:pPr>
      <w:r w:rsidRPr="00BB7EC8">
        <w:rPr>
          <w:color w:val="333333"/>
        </w:rPr>
        <w:t xml:space="preserve">Pursuant to Sections 5 and 6(g) of the FTC Act, the Commission proposes the Non-Compete Clause Rule. The proposed rule would provide it is an unfair method of competition—and therefore a violation of Section 5—for an employer to </w:t>
      </w:r>
      <w:proofErr w:type="gramStart"/>
      <w:r w:rsidRPr="00BB7EC8">
        <w:rPr>
          <w:color w:val="333333"/>
        </w:rPr>
        <w:t>enter into</w:t>
      </w:r>
      <w:proofErr w:type="gramEnd"/>
      <w:r w:rsidRPr="00BB7EC8">
        <w:rPr>
          <w:color w:val="333333"/>
        </w:rPr>
        <w:t xml:space="preserve"> or attempt to enter into a non-compete clause with a worker; maintain with a worker a non-compete clause; or, under certain circumstances, represent to a worker that the worker is subject to a non-compete clause. </w:t>
      </w:r>
      <w:r w:rsidRPr="00BB7EC8">
        <w:rPr>
          <w:color w:val="333333"/>
          <w:vertAlign w:val="superscript"/>
        </w:rPr>
        <w:t>(8)</w:t>
      </w:r>
    </w:p>
    <w:p w14:paraId="215B3FD8" w14:textId="77777777" w:rsidR="00BB7EC8" w:rsidRPr="00BB7EC8" w:rsidRDefault="00BB7EC8" w:rsidP="00BB7EC8">
      <w:pPr>
        <w:shd w:val="clear" w:color="auto" w:fill="FFFFFF"/>
        <w:spacing w:after="150"/>
        <w:rPr>
          <w:color w:val="333333"/>
        </w:rPr>
      </w:pPr>
      <w:r w:rsidRPr="00BB7EC8">
        <w:rPr>
          <w:color w:val="333333"/>
        </w:rPr>
        <w:t>The proposed rule would define the term “non-compete clause” as a contractual term between an employer and a worker that prevents the worker from seeking or accepting employment with a person, or operating a business, after the conclusion of the worker's employment with the employer. </w:t>
      </w:r>
      <w:r w:rsidRPr="00BB7EC8">
        <w:rPr>
          <w:color w:val="333333"/>
          <w:vertAlign w:val="superscript"/>
        </w:rPr>
        <w:t>(9) </w:t>
      </w:r>
      <w:r w:rsidRPr="00BB7EC8">
        <w:rPr>
          <w:color w:val="333333"/>
        </w:rPr>
        <w:t>The proposed rule would also clarify that whether a contractual provision is a non-compete clause would depend not on what the provision is called, but how the provision functions. As the Commission explains below, the definition of non-compete clause would generally not include other types of restrictive employment covenants—such as non-disclosure agreements (“NDAs”) and client or customer non-solicitation agreements—because these covenants generally do not prevent a worker from seeking or accepting employment with a person or operating a business after the conclusion of the worker's employment with the employer. However, under the proposed definition of “non-compete clause,” such covenants would be considered non-compete clauses where they are so unusually broad in scope that they function as such. </w:t>
      </w:r>
      <w:r w:rsidRPr="00BB7EC8">
        <w:rPr>
          <w:color w:val="333333"/>
          <w:vertAlign w:val="superscript"/>
        </w:rPr>
        <w:t>(10)</w:t>
      </w:r>
    </w:p>
    <w:p w14:paraId="44ACF997" w14:textId="77777777" w:rsidR="00BB7EC8" w:rsidRPr="00BB7EC8" w:rsidRDefault="00BB7EC8" w:rsidP="00BB7EC8">
      <w:pPr>
        <w:shd w:val="clear" w:color="auto" w:fill="FFFFFF"/>
        <w:spacing w:after="150"/>
        <w:rPr>
          <w:color w:val="333333"/>
        </w:rPr>
      </w:pPr>
      <w:r w:rsidRPr="00BB7EC8">
        <w:rPr>
          <w:color w:val="333333"/>
        </w:rPr>
        <w:t>The proposed rule would define “employer” as a person—as the term “person” is defined in 15 U.S.C. 57b-1(a)(6)—that hires or contracts with a worker to work for the person. </w:t>
      </w:r>
      <w:r w:rsidRPr="00BB7EC8">
        <w:rPr>
          <w:color w:val="333333"/>
          <w:vertAlign w:val="superscript"/>
        </w:rPr>
        <w:t>(11) </w:t>
      </w:r>
      <w:r w:rsidRPr="00BB7EC8">
        <w:rPr>
          <w:color w:val="333333"/>
        </w:rPr>
        <w:t xml:space="preserve">The proposed rule would define “worker” as a natural person who works, whether paid or unpaid, for an employer. The proposed rule would </w:t>
      </w:r>
      <w:r w:rsidRPr="00BB7EC8">
        <w:rPr>
          <w:color w:val="333333"/>
        </w:rPr>
        <w:lastRenderedPageBreak/>
        <w:t>clarify that the term “worker” includes an employee, individual classified as an independent contractor, extern, intern, volunteer, apprentice, or sole proprietor who provides a service to a client or customer. </w:t>
      </w:r>
      <w:r w:rsidRPr="00BB7EC8">
        <w:rPr>
          <w:color w:val="333333"/>
          <w:vertAlign w:val="superscript"/>
        </w:rPr>
        <w:t>(12)</w:t>
      </w:r>
    </w:p>
    <w:p w14:paraId="3AEFF191" w14:textId="112FE05A" w:rsidR="00BB7EC8" w:rsidRPr="00BB7EC8" w:rsidRDefault="00BB7EC8" w:rsidP="00BB7EC8">
      <w:pPr>
        <w:shd w:val="clear" w:color="auto" w:fill="FFFFFF"/>
        <w:spacing w:after="150"/>
        <w:rPr>
          <w:color w:val="333333"/>
          <w:vertAlign w:val="superscript"/>
        </w:rPr>
      </w:pPr>
      <w:r w:rsidRPr="00BB7EC8">
        <w:rPr>
          <w:color w:val="333333"/>
        </w:rPr>
        <w:t xml:space="preserve">In addition to prohibiting employers from </w:t>
      </w:r>
      <w:proofErr w:type="gramStart"/>
      <w:r w:rsidRPr="00BB7EC8">
        <w:rPr>
          <w:color w:val="333333"/>
        </w:rPr>
        <w:t>entering into</w:t>
      </w:r>
      <w:proofErr w:type="gramEnd"/>
      <w:r w:rsidRPr="00BB7EC8">
        <w:rPr>
          <w:color w:val="333333"/>
        </w:rPr>
        <w:t xml:space="preserve"> non-compete clauses with workers starting on the rule's compliance date, the proposed rule would require employers to rescind existing non-compete clauses no later than the rule's compliance date. </w:t>
      </w:r>
      <w:r w:rsidRPr="00BB7EC8">
        <w:rPr>
          <w:color w:val="333333"/>
          <w:vertAlign w:val="superscript"/>
        </w:rPr>
        <w:t>(13) </w:t>
      </w:r>
      <w:r w:rsidRPr="00BB7EC8">
        <w:rPr>
          <w:color w:val="333333"/>
        </w:rPr>
        <w:t>The proposed rule would also require an employer rescinding a non-compete clause to provide notice to the worker that the worker's non-compete clause is no longer in effect. </w:t>
      </w:r>
      <w:r w:rsidRPr="00BB7EC8">
        <w:rPr>
          <w:color w:val="333333"/>
          <w:vertAlign w:val="superscript"/>
        </w:rPr>
        <w:t>(14) </w:t>
      </w:r>
      <w:r w:rsidRPr="00BB7EC8">
        <w:rPr>
          <w:color w:val="333333"/>
        </w:rPr>
        <w:t xml:space="preserve">To facilitate compliance, the proposed rule would (1) include model language that would satisfy this notice </w:t>
      </w:r>
      <w:proofErr w:type="gramStart"/>
      <w:r w:rsidRPr="00BB7EC8">
        <w:rPr>
          <w:color w:val="333333"/>
        </w:rPr>
        <w:t>requirement  </w:t>
      </w:r>
      <w:r w:rsidRPr="00BB7EC8">
        <w:rPr>
          <w:color w:val="333333"/>
          <w:vertAlign w:val="superscript"/>
        </w:rPr>
        <w:t>(</w:t>
      </w:r>
      <w:proofErr w:type="gramEnd"/>
      <w:r w:rsidRPr="00BB7EC8">
        <w:rPr>
          <w:color w:val="333333"/>
          <w:vertAlign w:val="superscript"/>
        </w:rPr>
        <w:t>15) </w:t>
      </w:r>
      <w:r w:rsidRPr="00BB7EC8">
        <w:rPr>
          <w:color w:val="333333"/>
        </w:rPr>
        <w:t>and (2) establish a safe harbor whereby an employer would satisfy the rule's requirement to rescind existing non-compete clauses where it provides the worker with a notice that complies with this notice requirement. </w:t>
      </w:r>
      <w:r w:rsidRPr="00BB7EC8">
        <w:rPr>
          <w:color w:val="333333"/>
          <w:vertAlign w:val="superscript"/>
        </w:rPr>
        <w:t>(16)</w:t>
      </w:r>
    </w:p>
    <w:p w14:paraId="6EAA3370" w14:textId="77777777" w:rsidR="00BB7EC8" w:rsidRPr="00BB7EC8" w:rsidRDefault="00BB7EC8" w:rsidP="00BB7EC8">
      <w:pPr>
        <w:contextualSpacing/>
        <w:rPr>
          <w:b/>
          <w:bCs/>
        </w:rPr>
      </w:pPr>
    </w:p>
    <w:p w14:paraId="74E63E71" w14:textId="77777777" w:rsidR="00BB7EC8" w:rsidRPr="00BB7EC8" w:rsidRDefault="00BB7EC8" w:rsidP="00BB7EC8">
      <w:pPr>
        <w:contextualSpacing/>
        <w:rPr>
          <w:b/>
          <w:bCs/>
        </w:rPr>
      </w:pPr>
    </w:p>
    <w:p w14:paraId="2B605A12" w14:textId="128434B2" w:rsidR="00BB7EC8" w:rsidRPr="00BB7EC8" w:rsidRDefault="00BB7EC8" w:rsidP="00BB7EC8">
      <w:pPr>
        <w:contextualSpacing/>
        <w:rPr>
          <w:b/>
          <w:bCs/>
        </w:rPr>
      </w:pPr>
      <w:r w:rsidRPr="00BB7EC8">
        <w:rPr>
          <w:b/>
          <w:bCs/>
        </w:rPr>
        <w:t>Ohio Chamber of Commerce Commentary</w:t>
      </w:r>
    </w:p>
    <w:p w14:paraId="61CED44B" w14:textId="79902ECD" w:rsidR="00BB7EC8" w:rsidRPr="00BB7EC8" w:rsidRDefault="00BB7EC8" w:rsidP="00BB7EC8">
      <w:pPr>
        <w:contextualSpacing/>
        <w:rPr>
          <w:b/>
          <w:bCs/>
        </w:rPr>
      </w:pPr>
      <w:r w:rsidRPr="00BB7EC8">
        <w:rPr>
          <w:b/>
          <w:bCs/>
        </w:rPr>
        <w:t>DEVELOPMENTS THAT MATTER</w:t>
      </w:r>
    </w:p>
    <w:p w14:paraId="56B33C5A" w14:textId="77777777" w:rsidR="00BB7EC8" w:rsidRPr="00BB7EC8" w:rsidRDefault="00BB7EC8" w:rsidP="00BB7EC8">
      <w:pPr>
        <w:contextualSpacing/>
        <w:rPr>
          <w:b/>
          <w:bCs/>
        </w:rPr>
      </w:pPr>
      <w:r w:rsidRPr="00BB7EC8">
        <w:rPr>
          <w:b/>
          <w:bCs/>
        </w:rPr>
        <w:t xml:space="preserve">Here’s How Businesses Use </w:t>
      </w:r>
      <w:proofErr w:type="spellStart"/>
      <w:r w:rsidRPr="00BB7EC8">
        <w:rPr>
          <w:b/>
          <w:bCs/>
        </w:rPr>
        <w:t>Noncompetes</w:t>
      </w:r>
      <w:proofErr w:type="spellEnd"/>
    </w:p>
    <w:p w14:paraId="7528CD7D" w14:textId="77777777" w:rsidR="00BB7EC8" w:rsidRPr="00BB7EC8" w:rsidRDefault="00BB7EC8" w:rsidP="00BB7EC8">
      <w:pPr>
        <w:contextualSpacing/>
      </w:pPr>
    </w:p>
    <w:p w14:paraId="39603AD5" w14:textId="77777777" w:rsidR="00BB7EC8" w:rsidRPr="00BB7EC8" w:rsidRDefault="00BB7EC8" w:rsidP="00BB7EC8">
      <w:pPr>
        <w:contextualSpacing/>
      </w:pPr>
      <w:r w:rsidRPr="00BB7EC8">
        <w:t xml:space="preserve">The Federal Trade Commission’s proposed rule to ban noncompete clauses in employment contracts has raised concerns from across the business community. The Chamber asked businesses how they use </w:t>
      </w:r>
      <w:proofErr w:type="spellStart"/>
      <w:r w:rsidRPr="00BB7EC8">
        <w:t>noncompetes</w:t>
      </w:r>
      <w:proofErr w:type="spellEnd"/>
      <w:r w:rsidRPr="00BB7EC8">
        <w:t xml:space="preserve"> and how this rule might affect their operations.</w:t>
      </w:r>
    </w:p>
    <w:p w14:paraId="3BBDD220" w14:textId="77777777" w:rsidR="00BB7EC8" w:rsidRPr="00BB7EC8" w:rsidRDefault="00BB7EC8" w:rsidP="00BB7EC8">
      <w:pPr>
        <w:contextualSpacing/>
      </w:pPr>
    </w:p>
    <w:p w14:paraId="7C32D9CE" w14:textId="77777777" w:rsidR="00BB7EC8" w:rsidRPr="00BB7EC8" w:rsidRDefault="00BB7EC8" w:rsidP="00BB7EC8">
      <w:pPr>
        <w:contextualSpacing/>
      </w:pPr>
      <w:r w:rsidRPr="00BB7EC8">
        <w:t>Why it matters: The FTC’s sweeping rule would drastically impact how businesses hire, invest in employees, and protect sensitive information.</w:t>
      </w:r>
    </w:p>
    <w:p w14:paraId="45DABF47" w14:textId="77777777" w:rsidR="00BB7EC8" w:rsidRPr="00BB7EC8" w:rsidRDefault="00BB7EC8" w:rsidP="00BB7EC8">
      <w:pPr>
        <w:contextualSpacing/>
      </w:pPr>
    </w:p>
    <w:p w14:paraId="73E8E1FA" w14:textId="77777777" w:rsidR="00BB7EC8" w:rsidRPr="00BB7EC8" w:rsidRDefault="00BB7EC8" w:rsidP="00BB7EC8">
      <w:pPr>
        <w:contextualSpacing/>
      </w:pPr>
      <w:r w:rsidRPr="00BB7EC8">
        <w:t>By the numbers:</w:t>
      </w:r>
    </w:p>
    <w:p w14:paraId="4955F81A" w14:textId="19E47171" w:rsidR="00BB7EC8" w:rsidRPr="00BB7EC8" w:rsidRDefault="00BB7EC8" w:rsidP="00BB7EC8">
      <w:pPr>
        <w:pStyle w:val="ListParagraph"/>
        <w:numPr>
          <w:ilvl w:val="0"/>
          <w:numId w:val="29"/>
        </w:numPr>
      </w:pPr>
      <w:r w:rsidRPr="00BB7EC8">
        <w:t>67% agreed that a near-total ban on noncompete agreements would hurt their business’s talent strategy and/or compensation strategy.</w:t>
      </w:r>
    </w:p>
    <w:p w14:paraId="0064059A" w14:textId="315415F8" w:rsidR="00BB7EC8" w:rsidRPr="00BB7EC8" w:rsidRDefault="00BB7EC8" w:rsidP="00BB7EC8">
      <w:pPr>
        <w:pStyle w:val="ListParagraph"/>
        <w:numPr>
          <w:ilvl w:val="0"/>
          <w:numId w:val="29"/>
        </w:numPr>
      </w:pPr>
      <w:r w:rsidRPr="00BB7EC8">
        <w:t>80% stated they use some form of restrictive covenants including noncompete agreements.</w:t>
      </w:r>
    </w:p>
    <w:p w14:paraId="27B431D8" w14:textId="0CC35297" w:rsidR="00BB7EC8" w:rsidRPr="00BB7EC8" w:rsidRDefault="00BB7EC8" w:rsidP="00BB7EC8">
      <w:pPr>
        <w:pStyle w:val="ListParagraph"/>
        <w:numPr>
          <w:ilvl w:val="0"/>
          <w:numId w:val="29"/>
        </w:numPr>
      </w:pPr>
      <w:r w:rsidRPr="00BB7EC8">
        <w:t>62% stated that less than 10% of their workforce is covered by noncompete restrictions.</w:t>
      </w:r>
    </w:p>
    <w:p w14:paraId="74245D61" w14:textId="008ADD6F" w:rsidR="00BB7EC8" w:rsidRPr="00BB7EC8" w:rsidRDefault="00BB7EC8" w:rsidP="00BB7EC8">
      <w:pPr>
        <w:pStyle w:val="ListParagraph"/>
        <w:numPr>
          <w:ilvl w:val="0"/>
          <w:numId w:val="29"/>
        </w:numPr>
      </w:pPr>
      <w:r w:rsidRPr="00BB7EC8">
        <w:t>78% responded that where employees are covered under a restrictive covenant, additional compensation that covers the agreement’s length or longer is provided.</w:t>
      </w:r>
    </w:p>
    <w:p w14:paraId="321F384B" w14:textId="77777777" w:rsidR="00BB7EC8" w:rsidRPr="00BB7EC8" w:rsidRDefault="00BB7EC8" w:rsidP="00BB7EC8">
      <w:pPr>
        <w:contextualSpacing/>
      </w:pPr>
    </w:p>
    <w:p w14:paraId="72BF5801" w14:textId="77777777" w:rsidR="00BB7EC8" w:rsidRPr="00BB7EC8" w:rsidRDefault="00BB7EC8" w:rsidP="00BB7EC8">
      <w:pPr>
        <w:contextualSpacing/>
      </w:pPr>
      <w:r w:rsidRPr="00BB7EC8">
        <w:t xml:space="preserve">Our take: “For the Federal Trade Commission to promulgate a rule of this nature it needs statutory authority to do so, but also has to make a compelling case that such a federal rule is necessary,” explains Stephanie Ferguson, Chamber Director of Global Employment </w:t>
      </w:r>
      <w:proofErr w:type="gramStart"/>
      <w:r w:rsidRPr="00BB7EC8">
        <w:t>Policy</w:t>
      </w:r>
      <w:proofErr w:type="gramEnd"/>
      <w:r w:rsidRPr="00BB7EC8">
        <w:t xml:space="preserve"> and Special Initiatives. “The FTC’s proposed rule has failed on both accounts.”</w:t>
      </w:r>
    </w:p>
    <w:p w14:paraId="31A0187F" w14:textId="77777777" w:rsidR="00BB7EC8" w:rsidRPr="00BB7EC8" w:rsidRDefault="00BB7EC8" w:rsidP="00BB7EC8"/>
    <w:p w14:paraId="65D89CF9" w14:textId="77777777" w:rsidR="00BB7EC8" w:rsidRPr="00BB7EC8" w:rsidRDefault="00BB7EC8" w:rsidP="00BB7EC8">
      <w:pPr>
        <w:shd w:val="clear" w:color="auto" w:fill="FFFFFF"/>
        <w:spacing w:after="150"/>
        <w:rPr>
          <w:color w:val="333333"/>
          <w:vertAlign w:val="superscript"/>
        </w:rPr>
      </w:pPr>
    </w:p>
    <w:p w14:paraId="74BE9138" w14:textId="4DD5F7D8" w:rsidR="00BB7EC8" w:rsidRPr="00BB7EC8" w:rsidRDefault="00BB7EC8" w:rsidP="00BB7EC8">
      <w:pPr>
        <w:shd w:val="clear" w:color="auto" w:fill="FFFFFF"/>
        <w:spacing w:after="150"/>
        <w:rPr>
          <w:color w:val="333333"/>
          <w:vertAlign w:val="superscript"/>
        </w:rPr>
      </w:pPr>
    </w:p>
    <w:p w14:paraId="249205E4" w14:textId="77777777" w:rsidR="00BB7EC8" w:rsidRPr="00BB7EC8" w:rsidRDefault="00BB7EC8" w:rsidP="00BB7EC8">
      <w:pPr>
        <w:shd w:val="clear" w:color="auto" w:fill="FFFFFF"/>
        <w:spacing w:after="150"/>
        <w:rPr>
          <w:color w:val="333333"/>
        </w:rPr>
      </w:pPr>
    </w:p>
    <w:p w14:paraId="5EBB6787" w14:textId="2C63DE12" w:rsidR="00BB7EC8" w:rsidRPr="00BB7EC8" w:rsidRDefault="00BB7EC8"/>
    <w:p w14:paraId="76EEF507" w14:textId="77777777" w:rsidR="00BB7EC8" w:rsidRPr="00BB7EC8" w:rsidRDefault="00BB7EC8" w:rsidP="00540076">
      <w:pPr>
        <w:tabs>
          <w:tab w:val="left" w:pos="720"/>
          <w:tab w:val="left" w:pos="1440"/>
          <w:tab w:val="left" w:pos="2160"/>
          <w:tab w:val="left" w:pos="2880"/>
          <w:tab w:val="left" w:pos="7500"/>
        </w:tabs>
        <w:ind w:right="-684"/>
      </w:pPr>
    </w:p>
    <w:sectPr w:rsidR="00BB7EC8" w:rsidRPr="00BB7EC8" w:rsidSect="001B432D">
      <w:headerReference w:type="default" r:id="rId14"/>
      <w:pgSz w:w="12240" w:h="15840" w:code="1"/>
      <w:pgMar w:top="1627"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13F8" w14:textId="77777777" w:rsidR="003F1817" w:rsidRDefault="003F1817">
      <w:r>
        <w:separator/>
      </w:r>
    </w:p>
  </w:endnote>
  <w:endnote w:type="continuationSeparator" w:id="0">
    <w:p w14:paraId="48CD1EB1" w14:textId="77777777" w:rsidR="003F1817" w:rsidRDefault="003F1817">
      <w:r>
        <w:continuationSeparator/>
      </w:r>
    </w:p>
  </w:endnote>
  <w:endnote w:type="continuationNotice" w:id="1">
    <w:p w14:paraId="4CB5A607" w14:textId="77777777" w:rsidR="003F1817" w:rsidRDefault="003F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1EE0" w14:textId="77777777" w:rsidR="003F1817" w:rsidRDefault="003F1817">
      <w:r>
        <w:separator/>
      </w:r>
    </w:p>
  </w:footnote>
  <w:footnote w:type="continuationSeparator" w:id="0">
    <w:p w14:paraId="39A35FAF" w14:textId="77777777" w:rsidR="003F1817" w:rsidRDefault="003F1817">
      <w:r>
        <w:continuationSeparator/>
      </w:r>
    </w:p>
  </w:footnote>
  <w:footnote w:type="continuationNotice" w:id="1">
    <w:p w14:paraId="041BF719" w14:textId="77777777" w:rsidR="003F1817" w:rsidRDefault="003F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4DA55ED"/>
    <w:multiLevelType w:val="multilevel"/>
    <w:tmpl w:val="665A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3" w15:restartNumberingAfterBreak="0">
    <w:nsid w:val="0DD00F0B"/>
    <w:multiLevelType w:val="hybridMultilevel"/>
    <w:tmpl w:val="9482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5"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D576CB"/>
    <w:multiLevelType w:val="hybridMultilevel"/>
    <w:tmpl w:val="3D8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D97936"/>
    <w:multiLevelType w:val="multilevel"/>
    <w:tmpl w:val="B2224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130FF"/>
    <w:multiLevelType w:val="hybridMultilevel"/>
    <w:tmpl w:val="CC9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FE3AD5"/>
    <w:multiLevelType w:val="hybridMultilevel"/>
    <w:tmpl w:val="CFD0E6BC"/>
    <w:lvl w:ilvl="0" w:tplc="04090001">
      <w:start w:val="1"/>
      <w:numFmt w:val="bullet"/>
      <w:lvlText w:val=""/>
      <w:lvlJc w:val="left"/>
      <w:pPr>
        <w:ind w:left="1080" w:hanging="360"/>
      </w:pPr>
      <w:rPr>
        <w:rFonts w:ascii="Symbol" w:hAnsi="Symbol" w:hint="default"/>
      </w:rPr>
    </w:lvl>
    <w:lvl w:ilvl="1" w:tplc="4A84FD30">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20EA"/>
    <w:multiLevelType w:val="hybridMultilevel"/>
    <w:tmpl w:val="F78E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A2C0035"/>
    <w:multiLevelType w:val="multilevel"/>
    <w:tmpl w:val="37BEE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500DA4"/>
    <w:multiLevelType w:val="multilevel"/>
    <w:tmpl w:val="EC842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739AC"/>
    <w:multiLevelType w:val="hybridMultilevel"/>
    <w:tmpl w:val="5AB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C01C0"/>
    <w:multiLevelType w:val="hybridMultilevel"/>
    <w:tmpl w:val="C4E6406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27"/>
  </w:num>
  <w:num w:numId="2" w16cid:durableId="379020608">
    <w:abstractNumId w:val="24"/>
  </w:num>
  <w:num w:numId="3" w16cid:durableId="1391152102">
    <w:abstractNumId w:val="8"/>
  </w:num>
  <w:num w:numId="4" w16cid:durableId="1721973368">
    <w:abstractNumId w:val="0"/>
  </w:num>
  <w:num w:numId="5" w16cid:durableId="644512699">
    <w:abstractNumId w:val="13"/>
  </w:num>
  <w:num w:numId="6" w16cid:durableId="1715080367">
    <w:abstractNumId w:val="20"/>
  </w:num>
  <w:num w:numId="7" w16cid:durableId="1063522434">
    <w:abstractNumId w:val="4"/>
  </w:num>
  <w:num w:numId="8" w16cid:durableId="1226261207">
    <w:abstractNumId w:val="26"/>
  </w:num>
  <w:num w:numId="9" w16cid:durableId="511379049">
    <w:abstractNumId w:val="18"/>
  </w:num>
  <w:num w:numId="10" w16cid:durableId="1673213491">
    <w:abstractNumId w:val="22"/>
  </w:num>
  <w:num w:numId="11" w16cid:durableId="30081630">
    <w:abstractNumId w:val="2"/>
  </w:num>
  <w:num w:numId="12" w16cid:durableId="1764380526">
    <w:abstractNumId w:val="16"/>
  </w:num>
  <w:num w:numId="13" w16cid:durableId="1270163462">
    <w:abstractNumId w:val="12"/>
  </w:num>
  <w:num w:numId="14" w16cid:durableId="2091343093">
    <w:abstractNumId w:val="25"/>
  </w:num>
  <w:num w:numId="15" w16cid:durableId="385884299">
    <w:abstractNumId w:val="28"/>
  </w:num>
  <w:num w:numId="16" w16cid:durableId="310910923">
    <w:abstractNumId w:val="5"/>
  </w:num>
  <w:num w:numId="17" w16cid:durableId="785346527">
    <w:abstractNumId w:val="9"/>
  </w:num>
  <w:num w:numId="18" w16cid:durableId="425267138">
    <w:abstractNumId w:val="15"/>
  </w:num>
  <w:num w:numId="19" w16cid:durableId="714622575">
    <w:abstractNumId w:val="17"/>
  </w:num>
  <w:num w:numId="20" w16cid:durableId="504786238">
    <w:abstractNumId w:val="11"/>
  </w:num>
  <w:num w:numId="21" w16cid:durableId="767970445">
    <w:abstractNumId w:val="6"/>
  </w:num>
  <w:num w:numId="22" w16cid:durableId="1532181538">
    <w:abstractNumId w:val="10"/>
  </w:num>
  <w:num w:numId="23" w16cid:durableId="202061785">
    <w:abstractNumId w:val="14"/>
  </w:num>
  <w:num w:numId="24" w16cid:durableId="1948541077">
    <w:abstractNumId w:val="19"/>
  </w:num>
  <w:num w:numId="25" w16cid:durableId="1799176377">
    <w:abstractNumId w:val="21"/>
  </w:num>
  <w:num w:numId="26" w16cid:durableId="63141866">
    <w:abstractNumId w:val="7"/>
  </w:num>
  <w:num w:numId="27" w16cid:durableId="462581355">
    <w:abstractNumId w:val="1"/>
  </w:num>
  <w:num w:numId="28" w16cid:durableId="1645230527">
    <w:abstractNumId w:val="3"/>
  </w:num>
  <w:num w:numId="29" w16cid:durableId="11146387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Nzc1NzYysDAwMTZX0lEKTi0uzszPAykwrgUANT/DmiwAAAA="/>
  </w:docVars>
  <w:rsids>
    <w:rsidRoot w:val="001D557A"/>
    <w:rsid w:val="00003CBD"/>
    <w:rsid w:val="00011BFA"/>
    <w:rsid w:val="00011CFC"/>
    <w:rsid w:val="000137CE"/>
    <w:rsid w:val="00013F25"/>
    <w:rsid w:val="00015284"/>
    <w:rsid w:val="00017F37"/>
    <w:rsid w:val="00024FA7"/>
    <w:rsid w:val="000353D3"/>
    <w:rsid w:val="00045E23"/>
    <w:rsid w:val="0005257B"/>
    <w:rsid w:val="00054691"/>
    <w:rsid w:val="00055CE1"/>
    <w:rsid w:val="00060EE3"/>
    <w:rsid w:val="00061C5C"/>
    <w:rsid w:val="00066F63"/>
    <w:rsid w:val="00067B0C"/>
    <w:rsid w:val="000852A2"/>
    <w:rsid w:val="00085BAC"/>
    <w:rsid w:val="000947D6"/>
    <w:rsid w:val="00094FC1"/>
    <w:rsid w:val="000A0A2B"/>
    <w:rsid w:val="000A661A"/>
    <w:rsid w:val="000B2B18"/>
    <w:rsid w:val="000B3244"/>
    <w:rsid w:val="000D053A"/>
    <w:rsid w:val="000D26E2"/>
    <w:rsid w:val="000D4080"/>
    <w:rsid w:val="000D4F70"/>
    <w:rsid w:val="000D708F"/>
    <w:rsid w:val="000E5C8A"/>
    <w:rsid w:val="000F1319"/>
    <w:rsid w:val="000F4E8A"/>
    <w:rsid w:val="000F55AF"/>
    <w:rsid w:val="001071DB"/>
    <w:rsid w:val="00111653"/>
    <w:rsid w:val="00112B32"/>
    <w:rsid w:val="00113192"/>
    <w:rsid w:val="00113F67"/>
    <w:rsid w:val="001155EA"/>
    <w:rsid w:val="00115D71"/>
    <w:rsid w:val="00132A88"/>
    <w:rsid w:val="00145488"/>
    <w:rsid w:val="001510BB"/>
    <w:rsid w:val="00151715"/>
    <w:rsid w:val="001555CF"/>
    <w:rsid w:val="00172A97"/>
    <w:rsid w:val="0017351A"/>
    <w:rsid w:val="001738A0"/>
    <w:rsid w:val="00176146"/>
    <w:rsid w:val="00176CFB"/>
    <w:rsid w:val="00183D6B"/>
    <w:rsid w:val="00184EF1"/>
    <w:rsid w:val="00185366"/>
    <w:rsid w:val="001859E1"/>
    <w:rsid w:val="00185B5E"/>
    <w:rsid w:val="00190F66"/>
    <w:rsid w:val="0019170E"/>
    <w:rsid w:val="001959BB"/>
    <w:rsid w:val="00195DCA"/>
    <w:rsid w:val="00196068"/>
    <w:rsid w:val="001B1136"/>
    <w:rsid w:val="001B432D"/>
    <w:rsid w:val="001B503C"/>
    <w:rsid w:val="001B548A"/>
    <w:rsid w:val="001C011D"/>
    <w:rsid w:val="001C11C4"/>
    <w:rsid w:val="001C14F3"/>
    <w:rsid w:val="001D557A"/>
    <w:rsid w:val="001D6D92"/>
    <w:rsid w:val="001D7A51"/>
    <w:rsid w:val="001E5673"/>
    <w:rsid w:val="001F117C"/>
    <w:rsid w:val="0020360E"/>
    <w:rsid w:val="002179D6"/>
    <w:rsid w:val="0022199F"/>
    <w:rsid w:val="00221C22"/>
    <w:rsid w:val="00244139"/>
    <w:rsid w:val="00247489"/>
    <w:rsid w:val="002660ED"/>
    <w:rsid w:val="00267604"/>
    <w:rsid w:val="002714BA"/>
    <w:rsid w:val="002738A4"/>
    <w:rsid w:val="002765C9"/>
    <w:rsid w:val="00280DD7"/>
    <w:rsid w:val="0028474D"/>
    <w:rsid w:val="002A1FBF"/>
    <w:rsid w:val="002A4E9F"/>
    <w:rsid w:val="002A6568"/>
    <w:rsid w:val="002A7887"/>
    <w:rsid w:val="002B2D28"/>
    <w:rsid w:val="002B7CC0"/>
    <w:rsid w:val="002E367F"/>
    <w:rsid w:val="002F5472"/>
    <w:rsid w:val="00304254"/>
    <w:rsid w:val="00305188"/>
    <w:rsid w:val="00307E75"/>
    <w:rsid w:val="00322C46"/>
    <w:rsid w:val="003232D2"/>
    <w:rsid w:val="00331A6E"/>
    <w:rsid w:val="00347B8D"/>
    <w:rsid w:val="00351EE6"/>
    <w:rsid w:val="00360EAE"/>
    <w:rsid w:val="003717B2"/>
    <w:rsid w:val="00377296"/>
    <w:rsid w:val="003822AE"/>
    <w:rsid w:val="0038463B"/>
    <w:rsid w:val="00385A6C"/>
    <w:rsid w:val="00396B62"/>
    <w:rsid w:val="003A30C0"/>
    <w:rsid w:val="003B0851"/>
    <w:rsid w:val="003B3C6A"/>
    <w:rsid w:val="003C12DA"/>
    <w:rsid w:val="003C25D4"/>
    <w:rsid w:val="003D3547"/>
    <w:rsid w:val="003E116C"/>
    <w:rsid w:val="003F1817"/>
    <w:rsid w:val="003F1D74"/>
    <w:rsid w:val="00404136"/>
    <w:rsid w:val="00404464"/>
    <w:rsid w:val="00404D22"/>
    <w:rsid w:val="00407C7D"/>
    <w:rsid w:val="004107A8"/>
    <w:rsid w:val="00410E38"/>
    <w:rsid w:val="00412E21"/>
    <w:rsid w:val="004158BF"/>
    <w:rsid w:val="004165B3"/>
    <w:rsid w:val="00421E42"/>
    <w:rsid w:val="0042313C"/>
    <w:rsid w:val="00423EC8"/>
    <w:rsid w:val="0042525D"/>
    <w:rsid w:val="0042C63B"/>
    <w:rsid w:val="0043308E"/>
    <w:rsid w:val="004358B6"/>
    <w:rsid w:val="0043602C"/>
    <w:rsid w:val="004431E2"/>
    <w:rsid w:val="0044472F"/>
    <w:rsid w:val="0045516B"/>
    <w:rsid w:val="00455E6F"/>
    <w:rsid w:val="00456135"/>
    <w:rsid w:val="00471BDF"/>
    <w:rsid w:val="00483FD6"/>
    <w:rsid w:val="00487A00"/>
    <w:rsid w:val="004961B8"/>
    <w:rsid w:val="00497558"/>
    <w:rsid w:val="004A1CE6"/>
    <w:rsid w:val="004A5DC7"/>
    <w:rsid w:val="004B2E7D"/>
    <w:rsid w:val="004B720B"/>
    <w:rsid w:val="004C0001"/>
    <w:rsid w:val="004D0401"/>
    <w:rsid w:val="004D3317"/>
    <w:rsid w:val="004D346D"/>
    <w:rsid w:val="004D51D9"/>
    <w:rsid w:val="004D7E5F"/>
    <w:rsid w:val="004E4BA8"/>
    <w:rsid w:val="004E7BBE"/>
    <w:rsid w:val="004F1053"/>
    <w:rsid w:val="004F2927"/>
    <w:rsid w:val="004F7ABF"/>
    <w:rsid w:val="00501E34"/>
    <w:rsid w:val="00511D66"/>
    <w:rsid w:val="00515A7F"/>
    <w:rsid w:val="00517F09"/>
    <w:rsid w:val="00522AAB"/>
    <w:rsid w:val="005306D3"/>
    <w:rsid w:val="00534C0B"/>
    <w:rsid w:val="00540076"/>
    <w:rsid w:val="00540B2A"/>
    <w:rsid w:val="005421F3"/>
    <w:rsid w:val="00542B52"/>
    <w:rsid w:val="00546FBF"/>
    <w:rsid w:val="00552504"/>
    <w:rsid w:val="00553EB5"/>
    <w:rsid w:val="0055423E"/>
    <w:rsid w:val="005543DC"/>
    <w:rsid w:val="00555AD6"/>
    <w:rsid w:val="00555D78"/>
    <w:rsid w:val="00565259"/>
    <w:rsid w:val="0056626F"/>
    <w:rsid w:val="00570C71"/>
    <w:rsid w:val="00574C72"/>
    <w:rsid w:val="005771D7"/>
    <w:rsid w:val="005814AE"/>
    <w:rsid w:val="00582241"/>
    <w:rsid w:val="00582954"/>
    <w:rsid w:val="005A2DDB"/>
    <w:rsid w:val="005A6AFB"/>
    <w:rsid w:val="005A6DEB"/>
    <w:rsid w:val="005B30A3"/>
    <w:rsid w:val="005C3FCD"/>
    <w:rsid w:val="005C58BB"/>
    <w:rsid w:val="005C6B61"/>
    <w:rsid w:val="005D187D"/>
    <w:rsid w:val="005D31FB"/>
    <w:rsid w:val="005D3EE4"/>
    <w:rsid w:val="005D4A6E"/>
    <w:rsid w:val="005D5897"/>
    <w:rsid w:val="005D6397"/>
    <w:rsid w:val="005F299B"/>
    <w:rsid w:val="005F3887"/>
    <w:rsid w:val="005F420C"/>
    <w:rsid w:val="005F43E2"/>
    <w:rsid w:val="00600E84"/>
    <w:rsid w:val="0061259B"/>
    <w:rsid w:val="00617A2D"/>
    <w:rsid w:val="00617B9A"/>
    <w:rsid w:val="006212D4"/>
    <w:rsid w:val="006224C8"/>
    <w:rsid w:val="006246B4"/>
    <w:rsid w:val="00635188"/>
    <w:rsid w:val="00653D7A"/>
    <w:rsid w:val="00655397"/>
    <w:rsid w:val="0065765A"/>
    <w:rsid w:val="00665955"/>
    <w:rsid w:val="00665993"/>
    <w:rsid w:val="0066620F"/>
    <w:rsid w:val="006757B6"/>
    <w:rsid w:val="006813B3"/>
    <w:rsid w:val="0068460B"/>
    <w:rsid w:val="00685E4D"/>
    <w:rsid w:val="00686575"/>
    <w:rsid w:val="00687026"/>
    <w:rsid w:val="00691308"/>
    <w:rsid w:val="00691C44"/>
    <w:rsid w:val="00692E56"/>
    <w:rsid w:val="006A087A"/>
    <w:rsid w:val="006B4308"/>
    <w:rsid w:val="006B7E76"/>
    <w:rsid w:val="006C56D3"/>
    <w:rsid w:val="006C6A4C"/>
    <w:rsid w:val="006D2F7F"/>
    <w:rsid w:val="006D4649"/>
    <w:rsid w:val="006D4822"/>
    <w:rsid w:val="006E5D53"/>
    <w:rsid w:val="006E5F4F"/>
    <w:rsid w:val="006E6E0E"/>
    <w:rsid w:val="006F0818"/>
    <w:rsid w:val="006F5880"/>
    <w:rsid w:val="00700655"/>
    <w:rsid w:val="00700CDD"/>
    <w:rsid w:val="00704C29"/>
    <w:rsid w:val="00704FCF"/>
    <w:rsid w:val="00705D3B"/>
    <w:rsid w:val="007165D9"/>
    <w:rsid w:val="00720D93"/>
    <w:rsid w:val="00720EE8"/>
    <w:rsid w:val="00726BAD"/>
    <w:rsid w:val="00736A58"/>
    <w:rsid w:val="0074215E"/>
    <w:rsid w:val="007429D3"/>
    <w:rsid w:val="0074651B"/>
    <w:rsid w:val="00757E04"/>
    <w:rsid w:val="00764B09"/>
    <w:rsid w:val="00766169"/>
    <w:rsid w:val="0077097C"/>
    <w:rsid w:val="00772E84"/>
    <w:rsid w:val="00774742"/>
    <w:rsid w:val="00774C4B"/>
    <w:rsid w:val="00780E6A"/>
    <w:rsid w:val="007910C6"/>
    <w:rsid w:val="00793249"/>
    <w:rsid w:val="007937BD"/>
    <w:rsid w:val="00796B09"/>
    <w:rsid w:val="007A0A15"/>
    <w:rsid w:val="007A2417"/>
    <w:rsid w:val="007A3D24"/>
    <w:rsid w:val="007A5C47"/>
    <w:rsid w:val="007A7C8E"/>
    <w:rsid w:val="007B2B2C"/>
    <w:rsid w:val="007B2B4F"/>
    <w:rsid w:val="007C2A5E"/>
    <w:rsid w:val="007C57B7"/>
    <w:rsid w:val="007E0D4F"/>
    <w:rsid w:val="007E5E08"/>
    <w:rsid w:val="007F0028"/>
    <w:rsid w:val="007F1771"/>
    <w:rsid w:val="007F6E2D"/>
    <w:rsid w:val="007F7291"/>
    <w:rsid w:val="00800FF7"/>
    <w:rsid w:val="00803259"/>
    <w:rsid w:val="0080640F"/>
    <w:rsid w:val="00811C43"/>
    <w:rsid w:val="008146F7"/>
    <w:rsid w:val="00822EDF"/>
    <w:rsid w:val="008252DA"/>
    <w:rsid w:val="00831B58"/>
    <w:rsid w:val="00832E8B"/>
    <w:rsid w:val="008360B3"/>
    <w:rsid w:val="00847D15"/>
    <w:rsid w:val="00851884"/>
    <w:rsid w:val="0085254A"/>
    <w:rsid w:val="008531A7"/>
    <w:rsid w:val="008531DE"/>
    <w:rsid w:val="00853784"/>
    <w:rsid w:val="008612F6"/>
    <w:rsid w:val="0086419B"/>
    <w:rsid w:val="00864240"/>
    <w:rsid w:val="00864CE6"/>
    <w:rsid w:val="0086586F"/>
    <w:rsid w:val="00867B88"/>
    <w:rsid w:val="0087109B"/>
    <w:rsid w:val="00875569"/>
    <w:rsid w:val="008777CD"/>
    <w:rsid w:val="008800A0"/>
    <w:rsid w:val="008800C2"/>
    <w:rsid w:val="0088346C"/>
    <w:rsid w:val="00893FC9"/>
    <w:rsid w:val="00895038"/>
    <w:rsid w:val="008950DE"/>
    <w:rsid w:val="00895C96"/>
    <w:rsid w:val="008A0275"/>
    <w:rsid w:val="008A1257"/>
    <w:rsid w:val="008A3896"/>
    <w:rsid w:val="008A5018"/>
    <w:rsid w:val="008A507D"/>
    <w:rsid w:val="008C1DF2"/>
    <w:rsid w:val="008C26B3"/>
    <w:rsid w:val="008C38B4"/>
    <w:rsid w:val="008C5442"/>
    <w:rsid w:val="008D0872"/>
    <w:rsid w:val="008D6D3B"/>
    <w:rsid w:val="008E2C85"/>
    <w:rsid w:val="008E439B"/>
    <w:rsid w:val="008E4FB8"/>
    <w:rsid w:val="008F0A6B"/>
    <w:rsid w:val="008F208D"/>
    <w:rsid w:val="008F2EF6"/>
    <w:rsid w:val="0090091D"/>
    <w:rsid w:val="0090357B"/>
    <w:rsid w:val="00907C84"/>
    <w:rsid w:val="00912680"/>
    <w:rsid w:val="00914221"/>
    <w:rsid w:val="00922C08"/>
    <w:rsid w:val="0092458C"/>
    <w:rsid w:val="0092482C"/>
    <w:rsid w:val="00933386"/>
    <w:rsid w:val="009333D7"/>
    <w:rsid w:val="009338B3"/>
    <w:rsid w:val="009345DE"/>
    <w:rsid w:val="009402F6"/>
    <w:rsid w:val="0094032B"/>
    <w:rsid w:val="00940CE5"/>
    <w:rsid w:val="0094198E"/>
    <w:rsid w:val="00941EE9"/>
    <w:rsid w:val="00945A1A"/>
    <w:rsid w:val="00947000"/>
    <w:rsid w:val="00950413"/>
    <w:rsid w:val="00950E5F"/>
    <w:rsid w:val="00953986"/>
    <w:rsid w:val="009631D1"/>
    <w:rsid w:val="009649E2"/>
    <w:rsid w:val="0096502F"/>
    <w:rsid w:val="00965240"/>
    <w:rsid w:val="0096592E"/>
    <w:rsid w:val="00970A10"/>
    <w:rsid w:val="00981BFD"/>
    <w:rsid w:val="009849F1"/>
    <w:rsid w:val="0099072E"/>
    <w:rsid w:val="009A5298"/>
    <w:rsid w:val="009A5E5D"/>
    <w:rsid w:val="009D034D"/>
    <w:rsid w:val="009D4C63"/>
    <w:rsid w:val="009D57CF"/>
    <w:rsid w:val="009D71CC"/>
    <w:rsid w:val="009D7233"/>
    <w:rsid w:val="009F006A"/>
    <w:rsid w:val="009F234E"/>
    <w:rsid w:val="009F586C"/>
    <w:rsid w:val="00A00D7F"/>
    <w:rsid w:val="00A067D2"/>
    <w:rsid w:val="00A116AD"/>
    <w:rsid w:val="00A14735"/>
    <w:rsid w:val="00A17F3E"/>
    <w:rsid w:val="00A35956"/>
    <w:rsid w:val="00A36A3E"/>
    <w:rsid w:val="00A37429"/>
    <w:rsid w:val="00A442BB"/>
    <w:rsid w:val="00A506D1"/>
    <w:rsid w:val="00A52E47"/>
    <w:rsid w:val="00A60B58"/>
    <w:rsid w:val="00A64B09"/>
    <w:rsid w:val="00A65C5F"/>
    <w:rsid w:val="00A71547"/>
    <w:rsid w:val="00A715E4"/>
    <w:rsid w:val="00A71759"/>
    <w:rsid w:val="00A74A44"/>
    <w:rsid w:val="00A82ABE"/>
    <w:rsid w:val="00A83CCE"/>
    <w:rsid w:val="00A84CF1"/>
    <w:rsid w:val="00A85B62"/>
    <w:rsid w:val="00A97178"/>
    <w:rsid w:val="00AA0CF4"/>
    <w:rsid w:val="00AA3BA6"/>
    <w:rsid w:val="00AA5232"/>
    <w:rsid w:val="00AA5B99"/>
    <w:rsid w:val="00AB294A"/>
    <w:rsid w:val="00AB4C17"/>
    <w:rsid w:val="00AB4FA9"/>
    <w:rsid w:val="00AD58CD"/>
    <w:rsid w:val="00AF1017"/>
    <w:rsid w:val="00AF3DCC"/>
    <w:rsid w:val="00AF478B"/>
    <w:rsid w:val="00AF5BEA"/>
    <w:rsid w:val="00AF7CFB"/>
    <w:rsid w:val="00B157A0"/>
    <w:rsid w:val="00B2437A"/>
    <w:rsid w:val="00B251A3"/>
    <w:rsid w:val="00B30D22"/>
    <w:rsid w:val="00B34360"/>
    <w:rsid w:val="00B41229"/>
    <w:rsid w:val="00B446C4"/>
    <w:rsid w:val="00B44BD3"/>
    <w:rsid w:val="00B52D3C"/>
    <w:rsid w:val="00B5368A"/>
    <w:rsid w:val="00B55638"/>
    <w:rsid w:val="00B558DE"/>
    <w:rsid w:val="00B630F6"/>
    <w:rsid w:val="00B715E0"/>
    <w:rsid w:val="00B803B4"/>
    <w:rsid w:val="00B81207"/>
    <w:rsid w:val="00B85E61"/>
    <w:rsid w:val="00B9103E"/>
    <w:rsid w:val="00BA2339"/>
    <w:rsid w:val="00BA4E97"/>
    <w:rsid w:val="00BA73C0"/>
    <w:rsid w:val="00BA7A75"/>
    <w:rsid w:val="00BB1AF4"/>
    <w:rsid w:val="00BB7EC8"/>
    <w:rsid w:val="00BC1584"/>
    <w:rsid w:val="00BC45AE"/>
    <w:rsid w:val="00BD593A"/>
    <w:rsid w:val="00BD71D2"/>
    <w:rsid w:val="00BE27C8"/>
    <w:rsid w:val="00BE6AA8"/>
    <w:rsid w:val="00BF7991"/>
    <w:rsid w:val="00C06C18"/>
    <w:rsid w:val="00C12332"/>
    <w:rsid w:val="00C138D0"/>
    <w:rsid w:val="00C1762E"/>
    <w:rsid w:val="00C178EB"/>
    <w:rsid w:val="00C20AD7"/>
    <w:rsid w:val="00C20CC5"/>
    <w:rsid w:val="00C34E77"/>
    <w:rsid w:val="00C42D2D"/>
    <w:rsid w:val="00C43CA4"/>
    <w:rsid w:val="00C4581D"/>
    <w:rsid w:val="00C56BB1"/>
    <w:rsid w:val="00C5759E"/>
    <w:rsid w:val="00C71104"/>
    <w:rsid w:val="00C72CAE"/>
    <w:rsid w:val="00C771C3"/>
    <w:rsid w:val="00C84601"/>
    <w:rsid w:val="00C86158"/>
    <w:rsid w:val="00C90423"/>
    <w:rsid w:val="00C90585"/>
    <w:rsid w:val="00C9614C"/>
    <w:rsid w:val="00C97715"/>
    <w:rsid w:val="00CA09A6"/>
    <w:rsid w:val="00CA1FF4"/>
    <w:rsid w:val="00CA69EF"/>
    <w:rsid w:val="00CA70F6"/>
    <w:rsid w:val="00CB1A0A"/>
    <w:rsid w:val="00CB1D0A"/>
    <w:rsid w:val="00CB2A60"/>
    <w:rsid w:val="00CB4565"/>
    <w:rsid w:val="00CB5BC0"/>
    <w:rsid w:val="00CC3FE6"/>
    <w:rsid w:val="00CC57D5"/>
    <w:rsid w:val="00CC7092"/>
    <w:rsid w:val="00CD0E3F"/>
    <w:rsid w:val="00CD4B12"/>
    <w:rsid w:val="00CD7C16"/>
    <w:rsid w:val="00CE187A"/>
    <w:rsid w:val="00CE279A"/>
    <w:rsid w:val="00CE359D"/>
    <w:rsid w:val="00CF3560"/>
    <w:rsid w:val="00CF54E8"/>
    <w:rsid w:val="00D00679"/>
    <w:rsid w:val="00D142D4"/>
    <w:rsid w:val="00D16E58"/>
    <w:rsid w:val="00D30D3B"/>
    <w:rsid w:val="00D314C0"/>
    <w:rsid w:val="00D32450"/>
    <w:rsid w:val="00D3585E"/>
    <w:rsid w:val="00D36164"/>
    <w:rsid w:val="00D37788"/>
    <w:rsid w:val="00D37ED4"/>
    <w:rsid w:val="00D4029F"/>
    <w:rsid w:val="00D5112B"/>
    <w:rsid w:val="00D53161"/>
    <w:rsid w:val="00D605B2"/>
    <w:rsid w:val="00D645BA"/>
    <w:rsid w:val="00D81BD7"/>
    <w:rsid w:val="00D8242B"/>
    <w:rsid w:val="00D82612"/>
    <w:rsid w:val="00D82C95"/>
    <w:rsid w:val="00D851C6"/>
    <w:rsid w:val="00D9225A"/>
    <w:rsid w:val="00D97C64"/>
    <w:rsid w:val="00DA28A3"/>
    <w:rsid w:val="00DA2B5A"/>
    <w:rsid w:val="00DB0A11"/>
    <w:rsid w:val="00DB1BC3"/>
    <w:rsid w:val="00DC0C6D"/>
    <w:rsid w:val="00DC30B2"/>
    <w:rsid w:val="00DC3347"/>
    <w:rsid w:val="00DD3F1A"/>
    <w:rsid w:val="00DD54EE"/>
    <w:rsid w:val="00DD55FF"/>
    <w:rsid w:val="00DD7449"/>
    <w:rsid w:val="00DE09F4"/>
    <w:rsid w:val="00DE51AE"/>
    <w:rsid w:val="00DE791D"/>
    <w:rsid w:val="00E019C7"/>
    <w:rsid w:val="00E276C3"/>
    <w:rsid w:val="00E30F18"/>
    <w:rsid w:val="00E40B02"/>
    <w:rsid w:val="00E5476D"/>
    <w:rsid w:val="00E577C4"/>
    <w:rsid w:val="00E627B2"/>
    <w:rsid w:val="00E6437B"/>
    <w:rsid w:val="00E65B09"/>
    <w:rsid w:val="00E66C4F"/>
    <w:rsid w:val="00E77549"/>
    <w:rsid w:val="00E81DC2"/>
    <w:rsid w:val="00E82339"/>
    <w:rsid w:val="00E86E25"/>
    <w:rsid w:val="00E91305"/>
    <w:rsid w:val="00EA1E71"/>
    <w:rsid w:val="00EA62C0"/>
    <w:rsid w:val="00EB0129"/>
    <w:rsid w:val="00EB0277"/>
    <w:rsid w:val="00EB5963"/>
    <w:rsid w:val="00EC18B9"/>
    <w:rsid w:val="00EC39A2"/>
    <w:rsid w:val="00EC60CD"/>
    <w:rsid w:val="00ED2F53"/>
    <w:rsid w:val="00ED3DA3"/>
    <w:rsid w:val="00ED4D98"/>
    <w:rsid w:val="00EE11A0"/>
    <w:rsid w:val="00EE16A7"/>
    <w:rsid w:val="00EE29EB"/>
    <w:rsid w:val="00EE609E"/>
    <w:rsid w:val="00EF7BDC"/>
    <w:rsid w:val="00F0298E"/>
    <w:rsid w:val="00F12AA6"/>
    <w:rsid w:val="00F16CF3"/>
    <w:rsid w:val="00F1711D"/>
    <w:rsid w:val="00F177D3"/>
    <w:rsid w:val="00F22E39"/>
    <w:rsid w:val="00F26EC8"/>
    <w:rsid w:val="00F27140"/>
    <w:rsid w:val="00F40922"/>
    <w:rsid w:val="00F43719"/>
    <w:rsid w:val="00F473C9"/>
    <w:rsid w:val="00F47C08"/>
    <w:rsid w:val="00F52D73"/>
    <w:rsid w:val="00F53C79"/>
    <w:rsid w:val="00F55A69"/>
    <w:rsid w:val="00F649A4"/>
    <w:rsid w:val="00F65D12"/>
    <w:rsid w:val="00F664F7"/>
    <w:rsid w:val="00F70517"/>
    <w:rsid w:val="00F70828"/>
    <w:rsid w:val="00F73817"/>
    <w:rsid w:val="00F73D8B"/>
    <w:rsid w:val="00F7592C"/>
    <w:rsid w:val="00F76099"/>
    <w:rsid w:val="00F8066D"/>
    <w:rsid w:val="00F8145C"/>
    <w:rsid w:val="00F816E6"/>
    <w:rsid w:val="00F839D2"/>
    <w:rsid w:val="00F85F68"/>
    <w:rsid w:val="00F86A49"/>
    <w:rsid w:val="00F955F8"/>
    <w:rsid w:val="00FA20A1"/>
    <w:rsid w:val="00FA23E7"/>
    <w:rsid w:val="00FA38F0"/>
    <w:rsid w:val="00FA3FC3"/>
    <w:rsid w:val="00FA5970"/>
    <w:rsid w:val="00FA779D"/>
    <w:rsid w:val="00FB0618"/>
    <w:rsid w:val="00FB71E2"/>
    <w:rsid w:val="00FC7356"/>
    <w:rsid w:val="00FC73D1"/>
    <w:rsid w:val="00FD4EA5"/>
    <w:rsid w:val="00FE06FA"/>
    <w:rsid w:val="00FE2510"/>
    <w:rsid w:val="00FE3085"/>
    <w:rsid w:val="00FE53FE"/>
    <w:rsid w:val="00FF2C46"/>
    <w:rsid w:val="00FF65AD"/>
    <w:rsid w:val="03F319F0"/>
    <w:rsid w:val="06BD3AF0"/>
    <w:rsid w:val="0B7968F6"/>
    <w:rsid w:val="0D4E8637"/>
    <w:rsid w:val="0D80EE7D"/>
    <w:rsid w:val="1154BE26"/>
    <w:rsid w:val="145F5B40"/>
    <w:rsid w:val="15FD1ECF"/>
    <w:rsid w:val="16393224"/>
    <w:rsid w:val="168F8164"/>
    <w:rsid w:val="183D821F"/>
    <w:rsid w:val="1C1D56DA"/>
    <w:rsid w:val="1C48CEE6"/>
    <w:rsid w:val="1C834FB3"/>
    <w:rsid w:val="1D720B24"/>
    <w:rsid w:val="1FBAF075"/>
    <w:rsid w:val="2015FB91"/>
    <w:rsid w:val="2192E219"/>
    <w:rsid w:val="23199D3F"/>
    <w:rsid w:val="2354B132"/>
    <w:rsid w:val="23C68130"/>
    <w:rsid w:val="261DC598"/>
    <w:rsid w:val="29FEE689"/>
    <w:rsid w:val="2ABE2181"/>
    <w:rsid w:val="2B6183E4"/>
    <w:rsid w:val="2B93FBD2"/>
    <w:rsid w:val="2BF1660F"/>
    <w:rsid w:val="2D016352"/>
    <w:rsid w:val="2D5A44A1"/>
    <w:rsid w:val="32F2CA67"/>
    <w:rsid w:val="330D7970"/>
    <w:rsid w:val="3400EBA8"/>
    <w:rsid w:val="35E14486"/>
    <w:rsid w:val="392E9E14"/>
    <w:rsid w:val="3C427722"/>
    <w:rsid w:val="3CFB4CCC"/>
    <w:rsid w:val="3EE7AB6C"/>
    <w:rsid w:val="418E3AB4"/>
    <w:rsid w:val="4213DA11"/>
    <w:rsid w:val="47189737"/>
    <w:rsid w:val="47F1E547"/>
    <w:rsid w:val="49ADB936"/>
    <w:rsid w:val="49C0A777"/>
    <w:rsid w:val="4E270270"/>
    <w:rsid w:val="4FE3CECF"/>
    <w:rsid w:val="500E826A"/>
    <w:rsid w:val="502A12EC"/>
    <w:rsid w:val="5344DF5A"/>
    <w:rsid w:val="53458BB4"/>
    <w:rsid w:val="53ADA048"/>
    <w:rsid w:val="53FE5C54"/>
    <w:rsid w:val="543F38F9"/>
    <w:rsid w:val="54A5E643"/>
    <w:rsid w:val="567F4719"/>
    <w:rsid w:val="5797F89E"/>
    <w:rsid w:val="57D0640C"/>
    <w:rsid w:val="58DC9B3D"/>
    <w:rsid w:val="5A7D24BB"/>
    <w:rsid w:val="5B03874E"/>
    <w:rsid w:val="5DABB636"/>
    <w:rsid w:val="5EDC4581"/>
    <w:rsid w:val="62C5A3E4"/>
    <w:rsid w:val="64E050BB"/>
    <w:rsid w:val="683E844D"/>
    <w:rsid w:val="69E0E3D3"/>
    <w:rsid w:val="6B778495"/>
    <w:rsid w:val="6B7CB434"/>
    <w:rsid w:val="6C2C8AB5"/>
    <w:rsid w:val="6CD36115"/>
    <w:rsid w:val="6D5CBF99"/>
    <w:rsid w:val="6E1B32DD"/>
    <w:rsid w:val="6ED9A621"/>
    <w:rsid w:val="704ED1F4"/>
    <w:rsid w:val="7149348E"/>
    <w:rsid w:val="768A0728"/>
    <w:rsid w:val="7697A1BB"/>
    <w:rsid w:val="78D91F71"/>
    <w:rsid w:val="7AE59AF1"/>
    <w:rsid w:val="7AEACA90"/>
    <w:rsid w:val="7CC3E589"/>
    <w:rsid w:val="7D825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BD5BE8EF-6839-49D6-A14C-C0D4C17A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xmsonormal">
    <w:name w:val="x_msonormal"/>
    <w:basedOn w:val="Normal"/>
    <w:rsid w:val="000137CE"/>
    <w:rPr>
      <w:rFonts w:ascii="Calibri" w:eastAsiaTheme="minorHAnsi" w:hAnsi="Calibri" w:cs="Calibri"/>
      <w:sz w:val="22"/>
      <w:szCs w:val="22"/>
    </w:rPr>
  </w:style>
  <w:style w:type="character" w:customStyle="1" w:styleId="xelementtoproof">
    <w:name w:val="x_elementtoproof"/>
    <w:basedOn w:val="DefaultParagraphFont"/>
    <w:rsid w:val="000137CE"/>
  </w:style>
  <w:style w:type="character" w:styleId="FollowedHyperlink">
    <w:name w:val="FollowedHyperlink"/>
    <w:basedOn w:val="DefaultParagraphFont"/>
    <w:rsid w:val="00895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632561731">
      <w:bodyDiv w:val="1"/>
      <w:marLeft w:val="0"/>
      <w:marRight w:val="0"/>
      <w:marTop w:val="0"/>
      <w:marBottom w:val="0"/>
      <w:divBdr>
        <w:top w:val="none" w:sz="0" w:space="0" w:color="auto"/>
        <w:left w:val="none" w:sz="0" w:space="0" w:color="auto"/>
        <w:bottom w:val="none" w:sz="0" w:space="0" w:color="auto"/>
        <w:right w:val="none" w:sz="0" w:space="0" w:color="auto"/>
      </w:divBdr>
    </w:div>
    <w:div w:id="77401102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erville.org/workwi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ure.ohio.gov/legislation/135/sb1"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ure.ohio.gov/legislation/135/hb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2" ma:contentTypeDescription="Create a new document." ma:contentTypeScope="" ma:versionID="31cd15b63fa2356d65bc19992e809e28">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e9f3e1d0598b794156ec5da46cdeea93"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2.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3.xml><?xml version="1.0" encoding="utf-8"?>
<ds:datastoreItem xmlns:ds="http://schemas.openxmlformats.org/officeDocument/2006/customXml" ds:itemID="{2F1E62B2-787A-4C70-9A58-911F3FD886A1}"/>
</file>

<file path=customXml/itemProps4.xml><?xml version="1.0" encoding="utf-8"?>
<ds:datastoreItem xmlns:ds="http://schemas.openxmlformats.org/officeDocument/2006/customXml" ds:itemID="{CC41B892-0D3F-48BC-8674-2FD19D3BBA51}">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0ada825-d0e9-4da6-8266-35d5e649a43a"/>
    <ds:schemaRef ds:uri="276e5c84-e4d9-46a4-b3dc-370f869d935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7773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2022-10-31T21:48:00Z</cp:lastPrinted>
  <dcterms:created xsi:type="dcterms:W3CDTF">2023-03-13T17:35:00Z</dcterms:created>
  <dcterms:modified xsi:type="dcterms:W3CDTF">2023-03-13T17:35:00Z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GrammarlyDocumentId">
    <vt:lpwstr>28e90d994e06b652b703ba801ed6c7f92499f052a49c8a4fea0d3fb342bf2d55</vt:lpwstr>
  </property>
</Properties>
</file>