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06CA3" w14:textId="3A72A6CD" w:rsidR="007B0841" w:rsidRDefault="007B0841" w:rsidP="007B0841">
      <w:p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SLDF CASE UPDATE: AAROW/IET, LLC</w:t>
      </w:r>
    </w:p>
    <w:p w14:paraId="5B75CE2D" w14:textId="695684AD" w:rsidR="00DC0FC9" w:rsidRDefault="00DC0FC9" w:rsidP="007B0841">
      <w:p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December 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>22</w:t>
      </w:r>
      <w:r>
        <w:rPr>
          <w:rFonts w:ascii="Calibri" w:eastAsia="Times New Roman" w:hAnsi="Calibri" w:cs="Calibri"/>
          <w:color w:val="1F497D"/>
          <w:sz w:val="22"/>
          <w:szCs w:val="22"/>
        </w:rPr>
        <w:t>, 2020</w:t>
      </w:r>
    </w:p>
    <w:p w14:paraId="04FE1E62" w14:textId="77777777" w:rsidR="007B0841" w:rsidRDefault="007B0841" w:rsidP="007B0841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14:paraId="4C33515C" w14:textId="72F0CAF5" w:rsidR="007B0841" w:rsidRPr="007B0841" w:rsidRDefault="007B0841" w:rsidP="007B0841">
      <w:p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The U.S. Court of Appeals 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for the Fourth Circuit </w:t>
      </w:r>
      <w:r>
        <w:rPr>
          <w:rFonts w:ascii="Calibri" w:eastAsia="Times New Roman" w:hAnsi="Calibri" w:cs="Calibri"/>
          <w:color w:val="1F497D"/>
          <w:sz w:val="22"/>
          <w:szCs w:val="22"/>
        </w:rPr>
        <w:t>has rendered a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>n appellate</w:t>
      </w: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 decision 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involving </w:t>
      </w: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a payment bond 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claim under the Federal Miller Act.  The </w:t>
      </w: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Subcontractor Legal Defense Fund 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filed an </w:t>
      </w:r>
      <w:r w:rsidR="00DB039B" w:rsidRPr="00DB039B">
        <w:rPr>
          <w:rFonts w:ascii="Calibri" w:eastAsia="Times New Roman" w:hAnsi="Calibri" w:cs="Calibri"/>
          <w:i/>
          <w:iCs/>
          <w:color w:val="1F497D"/>
          <w:sz w:val="22"/>
          <w:szCs w:val="22"/>
        </w:rPr>
        <w:t>amicus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 brief in the appeal.  </w:t>
      </w:r>
      <w:r w:rsidR="001A1C58">
        <w:rPr>
          <w:rFonts w:ascii="Calibri" w:eastAsia="Times New Roman" w:hAnsi="Calibri" w:cs="Calibri"/>
          <w:color w:val="1F497D"/>
          <w:sz w:val="22"/>
          <w:szCs w:val="22"/>
        </w:rPr>
        <w:t xml:space="preserve">In </w:t>
      </w:r>
      <w:proofErr w:type="spellStart"/>
      <w:r w:rsidR="001A1C58" w:rsidRPr="001A1C58">
        <w:rPr>
          <w:rFonts w:ascii="Calibri" w:eastAsia="Times New Roman" w:hAnsi="Calibri" w:cs="Calibri"/>
          <w:i/>
          <w:iCs/>
          <w:color w:val="1F497D"/>
          <w:sz w:val="22"/>
          <w:szCs w:val="22"/>
        </w:rPr>
        <w:t>Aarow</w:t>
      </w:r>
      <w:proofErr w:type="spellEnd"/>
      <w:r w:rsidR="001A1C58" w:rsidRPr="001A1C58">
        <w:rPr>
          <w:rFonts w:ascii="Calibri" w:eastAsia="Times New Roman" w:hAnsi="Calibri" w:cs="Calibri"/>
          <w:i/>
          <w:iCs/>
          <w:color w:val="1F497D"/>
          <w:sz w:val="22"/>
          <w:szCs w:val="22"/>
        </w:rPr>
        <w:t>/IET, LLC v Hartford Fire Insurance Company</w:t>
      </w:r>
      <w:r w:rsidR="001A1C58">
        <w:rPr>
          <w:rFonts w:ascii="Calibri" w:eastAsia="Times New Roman" w:hAnsi="Calibri" w:cs="Calibri"/>
          <w:color w:val="1F497D"/>
          <w:sz w:val="22"/>
          <w:szCs w:val="22"/>
        </w:rPr>
        <w:t xml:space="preserve">, 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>ASA was concerned about whether a subcontract no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>-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>damage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-for-delay 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provision could contravene the statutory protections of the 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Federal 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>Miller Act.  The trial court had dismissed the bond and contract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 claims in the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 Complaint at the preliminary stage after concluding that the damages 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sought 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were delay damages barred by the Subcontract.  The Subcontractor had, in presenting its 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>Request for Equitable Adjustment (“REA”)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 during the Project, 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submitted a delay and disruption claim 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>and the trial court held that the REA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, attached ads an exhibit to the Complaint, 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undermined any attempt to plead that the damages sought to be recovered were something other than delay damages.  The trial court, relying on the no-damage-for-delay clause in the 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>s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ubcontract and 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accompanying 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REA, dismissed the Complaint, 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including 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both </w:t>
      </w:r>
      <w:r w:rsidR="00DB039B">
        <w:rPr>
          <w:rFonts w:ascii="Calibri" w:eastAsia="Times New Roman" w:hAnsi="Calibri" w:cs="Calibri"/>
          <w:color w:val="1F497D"/>
          <w:sz w:val="22"/>
          <w:szCs w:val="22"/>
        </w:rPr>
        <w:t xml:space="preserve">the 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>cont</w:t>
      </w:r>
      <w:r w:rsidR="009F07A7">
        <w:rPr>
          <w:rFonts w:ascii="Calibri" w:eastAsia="Times New Roman" w:hAnsi="Calibri" w:cs="Calibri"/>
          <w:color w:val="1F497D"/>
          <w:sz w:val="22"/>
          <w:szCs w:val="22"/>
        </w:rPr>
        <w:t>r</w:t>
      </w:r>
      <w:r w:rsidRPr="007B0841">
        <w:rPr>
          <w:rFonts w:ascii="Calibri" w:eastAsia="Times New Roman" w:hAnsi="Calibri" w:cs="Calibri"/>
          <w:color w:val="1F497D"/>
          <w:sz w:val="22"/>
          <w:szCs w:val="22"/>
        </w:rPr>
        <w:t>act and bond claims.</w:t>
      </w:r>
    </w:p>
    <w:p w14:paraId="67C502D9" w14:textId="77777777" w:rsidR="007B0841" w:rsidRPr="007B0841" w:rsidRDefault="007B0841" w:rsidP="007B084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B0841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0C0B232A" w14:textId="31655105" w:rsidR="007B0841" w:rsidRPr="007B0841" w:rsidRDefault="00E120CF" w:rsidP="007B0841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While t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he </w:t>
      </w:r>
      <w:r>
        <w:rPr>
          <w:rFonts w:ascii="Calibri" w:eastAsia="Times New Roman" w:hAnsi="Calibri" w:cs="Calibri"/>
          <w:color w:val="1F497D"/>
          <w:sz w:val="22"/>
          <w:szCs w:val="22"/>
        </w:rPr>
        <w:t>a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ppeals court reversed, </w:t>
      </w:r>
      <w:r>
        <w:rPr>
          <w:rFonts w:ascii="Calibri" w:eastAsia="Times New Roman" w:hAnsi="Calibri" w:cs="Calibri"/>
          <w:color w:val="1F497D"/>
          <w:sz w:val="22"/>
          <w:szCs w:val="22"/>
        </w:rPr>
        <w:t>it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 did</w:t>
      </w: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 not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 reach the</w:t>
      </w: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 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underlying </w:t>
      </w:r>
      <w:r>
        <w:rPr>
          <w:rFonts w:ascii="Calibri" w:eastAsia="Times New Roman" w:hAnsi="Calibri" w:cs="Calibri"/>
          <w:color w:val="1F497D"/>
          <w:sz w:val="22"/>
          <w:szCs w:val="22"/>
        </w:rPr>
        <w:t>payment bond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 issue 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upon which the </w:t>
      </w:r>
      <w:r>
        <w:rPr>
          <w:rFonts w:ascii="Calibri" w:eastAsia="Times New Roman" w:hAnsi="Calibri" w:cs="Calibri"/>
          <w:color w:val="1F497D"/>
          <w:sz w:val="22"/>
          <w:szCs w:val="22"/>
        </w:rPr>
        <w:t>SLDF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 filed 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its </w:t>
      </w:r>
      <w:r w:rsidR="00BB05DC" w:rsidRPr="00BB05DC">
        <w:rPr>
          <w:rFonts w:ascii="Calibri" w:eastAsia="Times New Roman" w:hAnsi="Calibri" w:cs="Calibri"/>
          <w:i/>
          <w:iCs/>
          <w:color w:val="1F497D"/>
          <w:sz w:val="22"/>
          <w:szCs w:val="22"/>
        </w:rPr>
        <w:t>amicus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 brief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>.  Instead, the 4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  <w:vertAlign w:val="superscript"/>
        </w:rPr>
        <w:t>th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 Circuit in an unpublished opinion found that summary dismissal was inappropriate because the Amended Complaint 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was sufficient 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to 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place 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the defendants on notice and to set the stage for prosecution of the 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REA 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>claims.</w:t>
      </w:r>
    </w:p>
    <w:p w14:paraId="712AF358" w14:textId="4CC07471" w:rsidR="007B0841" w:rsidRPr="007B0841" w:rsidRDefault="007B0841" w:rsidP="007B084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B0841">
        <w:rPr>
          <w:rFonts w:ascii="Calibri" w:eastAsia="Times New Roman" w:hAnsi="Calibri" w:cs="Calibri"/>
          <w:color w:val="1F497D"/>
          <w:sz w:val="22"/>
          <w:szCs w:val="22"/>
        </w:rPr>
        <w:t>  </w:t>
      </w:r>
    </w:p>
    <w:p w14:paraId="4368CB08" w14:textId="4BA88267" w:rsidR="005A10B9" w:rsidRDefault="00BB05DC" w:rsidP="007B0841">
      <w:p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Although </w:t>
      </w:r>
      <w:r w:rsidR="00E120CF">
        <w:rPr>
          <w:rFonts w:ascii="Calibri" w:eastAsia="Times New Roman" w:hAnsi="Calibri" w:cs="Calibri"/>
          <w:color w:val="1F497D"/>
          <w:sz w:val="22"/>
          <w:szCs w:val="22"/>
        </w:rPr>
        <w:t xml:space="preserve">the issue of </w:t>
      </w: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the Federal Miller Act </w:t>
      </w:r>
      <w:r w:rsidR="00E120CF">
        <w:rPr>
          <w:rFonts w:ascii="Calibri" w:eastAsia="Times New Roman" w:hAnsi="Calibri" w:cs="Calibri"/>
          <w:color w:val="1F497D"/>
          <w:sz w:val="22"/>
          <w:szCs w:val="22"/>
        </w:rPr>
        <w:t xml:space="preserve">versus </w:t>
      </w: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language in </w:t>
      </w:r>
      <w:r w:rsidR="00E120CF">
        <w:rPr>
          <w:rFonts w:ascii="Calibri" w:eastAsia="Times New Roman" w:hAnsi="Calibri" w:cs="Calibri"/>
          <w:color w:val="1F497D"/>
          <w:sz w:val="22"/>
          <w:szCs w:val="22"/>
        </w:rPr>
        <w:t xml:space="preserve">a contravening </w:t>
      </w:r>
      <w:r>
        <w:rPr>
          <w:rFonts w:ascii="Calibri" w:eastAsia="Times New Roman" w:hAnsi="Calibri" w:cs="Calibri"/>
          <w:color w:val="1F497D"/>
          <w:sz w:val="22"/>
          <w:szCs w:val="22"/>
        </w:rPr>
        <w:t>s</w:t>
      </w:r>
      <w:r w:rsidR="00E120CF">
        <w:rPr>
          <w:rFonts w:ascii="Calibri" w:eastAsia="Times New Roman" w:hAnsi="Calibri" w:cs="Calibri"/>
          <w:color w:val="1F497D"/>
          <w:sz w:val="22"/>
          <w:szCs w:val="22"/>
        </w:rPr>
        <w:t xml:space="preserve">ubcontract was not </w:t>
      </w:r>
      <w:r>
        <w:rPr>
          <w:rFonts w:ascii="Calibri" w:eastAsia="Times New Roman" w:hAnsi="Calibri" w:cs="Calibri"/>
          <w:color w:val="1F497D"/>
          <w:sz w:val="22"/>
          <w:szCs w:val="22"/>
        </w:rPr>
        <w:t>a basis of the decision</w:t>
      </w:r>
      <w:proofErr w:type="gramStart"/>
      <w:r>
        <w:rPr>
          <w:rFonts w:ascii="Calibri" w:eastAsia="Times New Roman" w:hAnsi="Calibri" w:cs="Calibri"/>
          <w:color w:val="1F497D"/>
          <w:sz w:val="22"/>
          <w:szCs w:val="22"/>
        </w:rPr>
        <w:t xml:space="preserve">, </w:t>
      </w:r>
      <w:r w:rsidR="005A10B9">
        <w:rPr>
          <w:rFonts w:ascii="Calibri" w:eastAsia="Times New Roman" w:hAnsi="Calibri" w:cs="Calibri"/>
          <w:color w:val="1F497D"/>
          <w:sz w:val="22"/>
          <w:szCs w:val="22"/>
        </w:rPr>
        <w:t>,</w:t>
      </w:r>
      <w:proofErr w:type="gramEnd"/>
      <w:r w:rsidR="005A10B9">
        <w:rPr>
          <w:rFonts w:ascii="Calibri" w:eastAsia="Times New Roman" w:hAnsi="Calibri" w:cs="Calibri"/>
          <w:color w:val="1F497D"/>
          <w:sz w:val="22"/>
          <w:szCs w:val="22"/>
        </w:rPr>
        <w:t xml:space="preserve"> 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the </w:t>
      </w: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ruling still 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>represent</w:t>
      </w:r>
      <w:r w:rsidR="00E120CF">
        <w:rPr>
          <w:rFonts w:ascii="Calibri" w:eastAsia="Times New Roman" w:hAnsi="Calibri" w:cs="Calibri"/>
          <w:color w:val="1F497D"/>
          <w:sz w:val="22"/>
          <w:szCs w:val="22"/>
        </w:rPr>
        <w:t>s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 a win </w:t>
      </w:r>
      <w:r w:rsidR="005A10B9">
        <w:rPr>
          <w:rFonts w:ascii="Calibri" w:eastAsia="Times New Roman" w:hAnsi="Calibri" w:cs="Calibri"/>
          <w:color w:val="1F497D"/>
          <w:sz w:val="22"/>
          <w:szCs w:val="22"/>
        </w:rPr>
        <w:t xml:space="preserve">for </w:t>
      </w:r>
      <w:r>
        <w:rPr>
          <w:rFonts w:ascii="Calibri" w:eastAsia="Times New Roman" w:hAnsi="Calibri" w:cs="Calibri"/>
          <w:color w:val="1F497D"/>
          <w:sz w:val="22"/>
          <w:szCs w:val="22"/>
        </w:rPr>
        <w:t>s</w:t>
      </w:r>
      <w:r w:rsidR="005A10B9">
        <w:rPr>
          <w:rFonts w:ascii="Calibri" w:eastAsia="Times New Roman" w:hAnsi="Calibri" w:cs="Calibri"/>
          <w:color w:val="1F497D"/>
          <w:sz w:val="22"/>
          <w:szCs w:val="22"/>
        </w:rPr>
        <w:t xml:space="preserve">ubcontractors. </w:t>
      </w: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 The specific </w:t>
      </w:r>
      <w:r w:rsidR="005A10B9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issue ASA was most concerned with </w:t>
      </w:r>
      <w:proofErr w:type="gramStart"/>
      <w:r w:rsidR="005A10B9" w:rsidRPr="007B0841">
        <w:rPr>
          <w:rFonts w:ascii="Calibri" w:eastAsia="Times New Roman" w:hAnsi="Calibri" w:cs="Calibri"/>
          <w:color w:val="1F497D"/>
          <w:sz w:val="22"/>
          <w:szCs w:val="22"/>
        </w:rPr>
        <w:t>was not addressed,</w:t>
      </w:r>
      <w:proofErr w:type="gramEnd"/>
      <w:r w:rsidR="005A10B9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however </w:t>
      </w:r>
      <w:r w:rsidR="005A10B9" w:rsidRPr="007B0841">
        <w:rPr>
          <w:rFonts w:ascii="Calibri" w:eastAsia="Times New Roman" w:hAnsi="Calibri" w:cs="Calibri"/>
          <w:color w:val="1F497D"/>
          <w:sz w:val="22"/>
          <w:szCs w:val="22"/>
        </w:rPr>
        <w:t>the case comes with a fair deal of lessons learned for ASA members and counsel. </w:t>
      </w:r>
      <w:r w:rsidR="007B0841" w:rsidRPr="007B0841">
        <w:rPr>
          <w:rFonts w:ascii="Calibri" w:eastAsia="Times New Roman" w:hAnsi="Calibri" w:cs="Calibri"/>
          <w:color w:val="1F497D"/>
          <w:sz w:val="22"/>
          <w:szCs w:val="22"/>
        </w:rPr>
        <w:t xml:space="preserve">Takeaways include the need to be </w:t>
      </w:r>
      <w:r w:rsidR="005A10B9">
        <w:rPr>
          <w:rFonts w:ascii="Calibri" w:eastAsia="Times New Roman" w:hAnsi="Calibri" w:cs="Calibri"/>
          <w:color w:val="1F497D"/>
          <w:sz w:val="22"/>
          <w:szCs w:val="22"/>
        </w:rPr>
        <w:t>cautious:</w:t>
      </w:r>
    </w:p>
    <w:p w14:paraId="4665C238" w14:textId="48D8CB24" w:rsidR="005A10B9" w:rsidRPr="005A10B9" w:rsidRDefault="007B0841" w:rsidP="005A10B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1F497D"/>
          <w:sz w:val="22"/>
          <w:szCs w:val="22"/>
        </w:rPr>
      </w:pPr>
      <w:r w:rsidRPr="005A10B9">
        <w:rPr>
          <w:rFonts w:ascii="Calibri" w:eastAsia="Times New Roman" w:hAnsi="Calibri" w:cs="Calibri"/>
          <w:color w:val="1F497D"/>
          <w:sz w:val="22"/>
          <w:szCs w:val="22"/>
        </w:rPr>
        <w:t>when signing subcontracts to understand the impact of the clauses on their rights (and potential impact on statutory rights like payment bond recovery</w:t>
      </w:r>
      <w:proofErr w:type="gramStart"/>
      <w:r w:rsidRPr="005A10B9">
        <w:rPr>
          <w:rFonts w:ascii="Calibri" w:eastAsia="Times New Roman" w:hAnsi="Calibri" w:cs="Calibri"/>
          <w:color w:val="1F497D"/>
          <w:sz w:val="22"/>
          <w:szCs w:val="22"/>
        </w:rPr>
        <w:t>);</w:t>
      </w:r>
      <w:proofErr w:type="gramEnd"/>
      <w:r w:rsidRPr="005A10B9">
        <w:rPr>
          <w:rFonts w:ascii="Calibri" w:eastAsia="Times New Roman" w:hAnsi="Calibri" w:cs="Calibri"/>
          <w:color w:val="1F497D"/>
          <w:sz w:val="22"/>
          <w:szCs w:val="22"/>
        </w:rPr>
        <w:t xml:space="preserve"> </w:t>
      </w:r>
    </w:p>
    <w:p w14:paraId="074459A4" w14:textId="3C131858" w:rsidR="005A10B9" w:rsidRDefault="007B0841" w:rsidP="005A10B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1F497D"/>
          <w:sz w:val="22"/>
          <w:szCs w:val="22"/>
        </w:rPr>
      </w:pPr>
      <w:r w:rsidRPr="005A10B9">
        <w:rPr>
          <w:rFonts w:ascii="Calibri" w:eastAsia="Times New Roman" w:hAnsi="Calibri" w:cs="Calibri"/>
          <w:color w:val="1F497D"/>
          <w:sz w:val="22"/>
          <w:szCs w:val="22"/>
        </w:rPr>
        <w:t>in their wording and presenting of claims in the first instance (the improvident use of ‘delay’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 in some instances and ‘disruption’ in other instances </w:t>
      </w:r>
      <w:r w:rsidRPr="005A10B9">
        <w:rPr>
          <w:rFonts w:ascii="Calibri" w:eastAsia="Times New Roman" w:hAnsi="Calibri" w:cs="Calibri"/>
          <w:color w:val="1F497D"/>
          <w:sz w:val="22"/>
          <w:szCs w:val="22"/>
        </w:rPr>
        <w:t xml:space="preserve">in 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an </w:t>
      </w:r>
      <w:r w:rsidRPr="005A10B9">
        <w:rPr>
          <w:rFonts w:ascii="Calibri" w:eastAsia="Times New Roman" w:hAnsi="Calibri" w:cs="Calibri"/>
          <w:color w:val="1F497D"/>
          <w:sz w:val="22"/>
          <w:szCs w:val="22"/>
        </w:rPr>
        <w:t xml:space="preserve">REA 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>can have downstream effects</w:t>
      </w:r>
      <w:r w:rsidRPr="005A10B9">
        <w:rPr>
          <w:rFonts w:ascii="Calibri" w:eastAsia="Times New Roman" w:hAnsi="Calibri" w:cs="Calibri"/>
          <w:color w:val="1F497D"/>
          <w:sz w:val="22"/>
          <w:szCs w:val="22"/>
        </w:rPr>
        <w:t xml:space="preserve">; and </w:t>
      </w:r>
    </w:p>
    <w:p w14:paraId="0DAC268A" w14:textId="0AA020B3" w:rsidR="007B0841" w:rsidRPr="005A10B9" w:rsidRDefault="007B0841" w:rsidP="005A10B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1F497D"/>
          <w:sz w:val="22"/>
          <w:szCs w:val="22"/>
        </w:rPr>
      </w:pPr>
      <w:r w:rsidRPr="005A10B9">
        <w:rPr>
          <w:rFonts w:ascii="Calibri" w:eastAsia="Times New Roman" w:hAnsi="Calibri" w:cs="Calibri"/>
          <w:color w:val="1F497D"/>
          <w:sz w:val="22"/>
          <w:szCs w:val="22"/>
        </w:rPr>
        <w:t xml:space="preserve">while there are arguments to be made for the statutory language prevailing over pure </w:t>
      </w:r>
      <w:r w:rsidR="00BB05DC">
        <w:rPr>
          <w:rFonts w:ascii="Calibri" w:eastAsia="Times New Roman" w:hAnsi="Calibri" w:cs="Calibri"/>
          <w:color w:val="1F497D"/>
          <w:sz w:val="22"/>
          <w:szCs w:val="22"/>
        </w:rPr>
        <w:t xml:space="preserve">subcontract </w:t>
      </w:r>
      <w:r w:rsidRPr="005A10B9">
        <w:rPr>
          <w:rFonts w:ascii="Calibri" w:eastAsia="Times New Roman" w:hAnsi="Calibri" w:cs="Calibri"/>
          <w:color w:val="1F497D"/>
          <w:sz w:val="22"/>
          <w:szCs w:val="22"/>
        </w:rPr>
        <w:t xml:space="preserve">terms, counsel should be aware of these pitfalls and be prepared to </w:t>
      </w:r>
      <w:proofErr w:type="gramStart"/>
      <w:r w:rsidRPr="005A10B9">
        <w:rPr>
          <w:rFonts w:ascii="Calibri" w:eastAsia="Times New Roman" w:hAnsi="Calibri" w:cs="Calibri"/>
          <w:color w:val="1F497D"/>
          <w:sz w:val="22"/>
          <w:szCs w:val="22"/>
        </w:rPr>
        <w:t>very carefully think these arguments</w:t>
      </w:r>
      <w:proofErr w:type="gramEnd"/>
      <w:r w:rsidRPr="005A10B9">
        <w:rPr>
          <w:rFonts w:ascii="Calibri" w:eastAsia="Times New Roman" w:hAnsi="Calibri" w:cs="Calibri"/>
          <w:color w:val="1F497D"/>
          <w:sz w:val="22"/>
          <w:szCs w:val="22"/>
        </w:rPr>
        <w:t xml:space="preserve"> through and plead judiciously and carefully.</w:t>
      </w:r>
    </w:p>
    <w:p w14:paraId="204F42A5" w14:textId="77777777" w:rsidR="007B0841" w:rsidRPr="007B0841" w:rsidRDefault="007B0841" w:rsidP="007B084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B0841">
        <w:rPr>
          <w:rFonts w:ascii="Calibri" w:eastAsia="Times New Roman" w:hAnsi="Calibri" w:cs="Calibri"/>
          <w:color w:val="1F497D"/>
          <w:sz w:val="22"/>
          <w:szCs w:val="22"/>
        </w:rPr>
        <w:t>  </w:t>
      </w:r>
    </w:p>
    <w:p w14:paraId="56369126" w14:textId="77777777" w:rsidR="009421D0" w:rsidRDefault="00F969E0"/>
    <w:sectPr w:rsidR="009421D0" w:rsidSect="0058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5599E"/>
    <w:multiLevelType w:val="hybridMultilevel"/>
    <w:tmpl w:val="0316CDC6"/>
    <w:lvl w:ilvl="0" w:tplc="42844D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41"/>
    <w:rsid w:val="001A1C58"/>
    <w:rsid w:val="00373797"/>
    <w:rsid w:val="005852A4"/>
    <w:rsid w:val="005A10B9"/>
    <w:rsid w:val="007B0841"/>
    <w:rsid w:val="009F07A7"/>
    <w:rsid w:val="00BB05DC"/>
    <w:rsid w:val="00C9585D"/>
    <w:rsid w:val="00DB039B"/>
    <w:rsid w:val="00DC0FC9"/>
    <w:rsid w:val="00E120CF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A369"/>
  <w15:chartTrackingRefBased/>
  <w15:docId w15:val="{8B80B52D-55D1-2143-9211-4953277A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0841"/>
  </w:style>
  <w:style w:type="paragraph" w:styleId="ListParagraph">
    <w:name w:val="List Paragraph"/>
    <w:basedOn w:val="Normal"/>
    <w:uiPriority w:val="34"/>
    <w:qFormat/>
    <w:rsid w:val="005A1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3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5330ACBED8F4BBE410FB616DFCCB8" ma:contentTypeVersion="13" ma:contentTypeDescription="Create a new document." ma:contentTypeScope="" ma:versionID="7e6c8a8ccae600a21578123d29b83757">
  <xsd:schema xmlns:xsd="http://www.w3.org/2001/XMLSchema" xmlns:xs="http://www.w3.org/2001/XMLSchema" xmlns:p="http://schemas.microsoft.com/office/2006/metadata/properties" xmlns:ns2="58307325-9636-4ced-a130-f6a42a9cae9c" xmlns:ns3="9827f3e9-c56b-4641-921d-41a766b18bbc" targetNamespace="http://schemas.microsoft.com/office/2006/metadata/properties" ma:root="true" ma:fieldsID="6efbd48707a39e4c68d6fea6ac20c7ee" ns2:_="" ns3:_="">
    <xsd:import namespace="58307325-9636-4ced-a130-f6a42a9cae9c"/>
    <xsd:import namespace="9827f3e9-c56b-4641-921d-41a766b18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07325-9636-4ced-a130-f6a42a9ca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f3e9-c56b-4641-921d-41a766b18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50087-E794-4C35-AE0A-C671BD32A0AC}"/>
</file>

<file path=customXml/itemProps2.xml><?xml version="1.0" encoding="utf-8"?>
<ds:datastoreItem xmlns:ds="http://schemas.openxmlformats.org/officeDocument/2006/customXml" ds:itemID="{DAD0BBD3-9BD6-4D2F-9EC8-0749FA43C4AC}"/>
</file>

<file path=customXml/itemProps3.xml><?xml version="1.0" encoding="utf-8"?>
<ds:datastoreItem xmlns:ds="http://schemas.openxmlformats.org/officeDocument/2006/customXml" ds:itemID="{8205D26D-36D1-4ACF-818C-ACCAD6E09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Meadors Oscar</dc:creator>
  <cp:keywords/>
  <dc:description/>
  <cp:lastModifiedBy>Shannon Meadors Oscar</cp:lastModifiedBy>
  <cp:revision>2</cp:revision>
  <dcterms:created xsi:type="dcterms:W3CDTF">2020-12-22T19:00:00Z</dcterms:created>
  <dcterms:modified xsi:type="dcterms:W3CDTF">2020-12-22T19:00:00Z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0x0101006935330ACBED8F4BBE410FB616DFCCB8</vt:lpwstr>
  </property>
</Properties>
</file>