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960B" w14:textId="46076F4F" w:rsidR="00D06851" w:rsidRDefault="002D4556" w:rsidP="18A62090">
      <w:pPr>
        <w:jc w:val="center"/>
        <w:rPr>
          <w:rFonts w:ascii="Bebas Neue Bold" w:hAnsi="Bebas Neue Bold"/>
          <w:color w:val="007D91"/>
          <w:sz w:val="36"/>
          <w:szCs w:val="36"/>
        </w:rPr>
      </w:pPr>
      <w:r>
        <w:rPr>
          <w:rFonts w:ascii="Bebas Neue Bold" w:hAnsi="Bebas Neue Bold"/>
          <w:noProof/>
          <w:color w:val="007D91"/>
          <w:sz w:val="36"/>
          <w:szCs w:val="36"/>
        </w:rPr>
        <w:drawing>
          <wp:inline distT="0" distB="0" distL="0" distR="0" wp14:anchorId="2645FF0B" wp14:editId="60198657">
            <wp:extent cx="1892808" cy="1325880"/>
            <wp:effectExtent l="0" t="0" r="0" b="762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0669C" w14:textId="143F8CB9" w:rsidR="00374795" w:rsidRPr="002D4556" w:rsidRDefault="00374795" w:rsidP="00374795">
      <w:pPr>
        <w:jc w:val="center"/>
        <w:rPr>
          <w:rFonts w:ascii="Bebas Neue Bold" w:hAnsi="Bebas Neue Bold"/>
          <w:color w:val="FF0000"/>
          <w:sz w:val="40"/>
          <w:szCs w:val="40"/>
        </w:rPr>
      </w:pPr>
      <w:r w:rsidRPr="002D4556">
        <w:rPr>
          <w:rFonts w:ascii="Bebas Neue Bold" w:hAnsi="Bebas Neue Bold"/>
          <w:color w:val="FF0000"/>
          <w:sz w:val="40"/>
          <w:szCs w:val="40"/>
        </w:rPr>
        <w:t>Budget Toolkit</w:t>
      </w:r>
    </w:p>
    <w:tbl>
      <w:tblPr>
        <w:tblpPr w:leftFromText="180" w:rightFromText="180" w:vertAnchor="text" w:horzAnchor="page" w:tblpX="1" w:tblpY="366"/>
        <w:tblW w:w="15077" w:type="dxa"/>
        <w:tblLook w:val="04A0" w:firstRow="1" w:lastRow="0" w:firstColumn="1" w:lastColumn="0" w:noHBand="0" w:noVBand="1"/>
      </w:tblPr>
      <w:tblGrid>
        <w:gridCol w:w="980"/>
        <w:gridCol w:w="3880"/>
        <w:gridCol w:w="1890"/>
        <w:gridCol w:w="3150"/>
        <w:gridCol w:w="1697"/>
        <w:gridCol w:w="1520"/>
        <w:gridCol w:w="980"/>
        <w:gridCol w:w="980"/>
      </w:tblGrid>
      <w:tr w:rsidR="00E40271" w:rsidRPr="00E40271" w14:paraId="1D745917" w14:textId="77777777" w:rsidTr="002E62C3">
        <w:trPr>
          <w:trHeight w:val="62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DAF2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5E84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  <w:b/>
                <w:bCs/>
              </w:rPr>
            </w:pPr>
            <w:r w:rsidRPr="00E40271">
              <w:rPr>
                <w:rFonts w:ascii="Avenir Next LT Pro" w:eastAsia="Times New Roman" w:hAnsi="Avenir Next LT Pro" w:cs="Calibri"/>
                <w:b/>
                <w:bCs/>
              </w:rPr>
              <w:t>Registration Category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74F" w14:textId="08DDEB6B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  <w:b/>
                <w:bCs/>
              </w:rPr>
            </w:pPr>
            <w:r w:rsidRPr="00E40271">
              <w:rPr>
                <w:rFonts w:ascii="Avenir Next LT Pro" w:eastAsia="Times New Roman" w:hAnsi="Avenir Next LT Pro" w:cs="Calibri"/>
                <w:b/>
                <w:bCs/>
              </w:rPr>
              <w:t>Early Bird</w:t>
            </w:r>
            <w:r w:rsidRPr="00E40271">
              <w:rPr>
                <w:rFonts w:ascii="Avenir Next LT Pro" w:eastAsia="Times New Roman" w:hAnsi="Avenir Next LT Pro" w:cs="Calibri"/>
                <w:b/>
                <w:bCs/>
              </w:rPr>
              <w:br/>
              <w:t>by 1</w:t>
            </w:r>
            <w:r w:rsidR="009F4B63">
              <w:rPr>
                <w:rFonts w:ascii="Avenir Next LT Pro" w:eastAsia="Times New Roman" w:hAnsi="Avenir Next LT Pro" w:cs="Calibri"/>
                <w:b/>
                <w:bCs/>
              </w:rPr>
              <w:t>1</w:t>
            </w:r>
            <w:r w:rsidRPr="00E40271">
              <w:rPr>
                <w:rFonts w:ascii="Avenir Next LT Pro" w:eastAsia="Times New Roman" w:hAnsi="Avenir Next LT Pro" w:cs="Calibri"/>
                <w:b/>
                <w:bCs/>
              </w:rPr>
              <w:t xml:space="preserve"> Aug '2</w:t>
            </w:r>
            <w:r w:rsidR="009F4B63">
              <w:rPr>
                <w:rFonts w:ascii="Avenir Next LT Pro" w:eastAsia="Times New Roman" w:hAnsi="Avenir Next LT Pro" w:cs="Calibri"/>
                <w:b/>
                <w:bCs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4DE" w14:textId="0A1DEDDF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  <w:b/>
                <w:bCs/>
              </w:rPr>
            </w:pPr>
            <w:r w:rsidRPr="00E40271">
              <w:rPr>
                <w:rFonts w:ascii="Avenir Next LT Pro" w:eastAsia="Times New Roman" w:hAnsi="Avenir Next LT Pro" w:cs="Calibri"/>
                <w:b/>
                <w:bCs/>
              </w:rPr>
              <w:t>Regular</w:t>
            </w:r>
            <w:r w:rsidRPr="00E40271">
              <w:rPr>
                <w:rFonts w:ascii="Avenir Next LT Pro" w:eastAsia="Times New Roman" w:hAnsi="Avenir Next LT Pro" w:cs="Calibri"/>
                <w:b/>
                <w:bCs/>
              </w:rPr>
              <w:br/>
              <w:t>1</w:t>
            </w:r>
            <w:r w:rsidR="00920985">
              <w:rPr>
                <w:rFonts w:ascii="Avenir Next LT Pro" w:eastAsia="Times New Roman" w:hAnsi="Avenir Next LT Pro" w:cs="Calibri"/>
                <w:b/>
                <w:bCs/>
              </w:rPr>
              <w:t>2</w:t>
            </w:r>
            <w:r w:rsidR="002E62C3">
              <w:rPr>
                <w:rFonts w:ascii="Avenir Next LT Pro" w:eastAsia="Times New Roman" w:hAnsi="Avenir Next LT Pro" w:cs="Calibri"/>
                <w:b/>
                <w:bCs/>
              </w:rPr>
              <w:t xml:space="preserve"> Aug- 1</w:t>
            </w:r>
            <w:r w:rsidR="00574BA3">
              <w:rPr>
                <w:rFonts w:ascii="Avenir Next LT Pro" w:eastAsia="Times New Roman" w:hAnsi="Avenir Next LT Pro" w:cs="Calibri"/>
                <w:b/>
                <w:bCs/>
              </w:rPr>
              <w:t>3</w:t>
            </w:r>
            <w:r w:rsidR="002E62C3">
              <w:rPr>
                <w:rFonts w:ascii="Avenir Next LT Pro" w:eastAsia="Times New Roman" w:hAnsi="Avenir Next LT Pro" w:cs="Calibri"/>
                <w:b/>
                <w:bCs/>
              </w:rPr>
              <w:t xml:space="preserve"> October </w:t>
            </w:r>
            <w:r w:rsidRPr="00E40271">
              <w:rPr>
                <w:rFonts w:ascii="Avenir Next LT Pro" w:eastAsia="Times New Roman" w:hAnsi="Avenir Next LT Pro" w:cs="Calibri"/>
                <w:b/>
                <w:bCs/>
              </w:rPr>
              <w:t>'2</w:t>
            </w:r>
            <w:r w:rsidR="00920985">
              <w:rPr>
                <w:rFonts w:ascii="Avenir Next LT Pro" w:eastAsia="Times New Roman" w:hAnsi="Avenir Next LT Pro" w:cs="Calibri"/>
                <w:b/>
                <w:bCs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4A50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  <w:b/>
                <w:bCs/>
              </w:rPr>
            </w:pPr>
            <w:r w:rsidRPr="00E40271">
              <w:rPr>
                <w:rFonts w:ascii="Avenir Next LT Pro" w:eastAsia="Times New Roman" w:hAnsi="Avenir Next LT Pro" w:cs="Calibri"/>
                <w:b/>
                <w:bCs/>
              </w:rPr>
              <w:t xml:space="preserve">Includes </w:t>
            </w:r>
            <w:r w:rsidRPr="00E40271">
              <w:rPr>
                <w:rFonts w:ascii="Avenir Next LT Pro" w:eastAsia="Times New Roman" w:hAnsi="Avenir Next LT Pro" w:cs="Calibri"/>
                <w:b/>
                <w:bCs/>
              </w:rPr>
              <w:br/>
              <w:t>Membership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CDF6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0341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8085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71" w:rsidRPr="00E40271" w14:paraId="627FD3A6" w14:textId="77777777" w:rsidTr="002E62C3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9AFA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3792" w14:textId="77777777" w:rsidR="00E40271" w:rsidRPr="00E40271" w:rsidRDefault="00E40271" w:rsidP="00E40271">
            <w:pPr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First Time - Member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236" w14:textId="39341E91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</w:t>
            </w:r>
            <w:r w:rsidR="00EA4F37">
              <w:rPr>
                <w:rFonts w:ascii="Avenir Next LT Pro" w:eastAsia="Times New Roman" w:hAnsi="Avenir Next LT Pro" w:cs="Calibri"/>
              </w:rPr>
              <w:t>60</w:t>
            </w:r>
            <w:r w:rsidR="003D3876">
              <w:rPr>
                <w:rFonts w:ascii="Avenir Next LT Pro" w:eastAsia="Times New Roman" w:hAnsi="Avenir Next LT Pro" w:cs="Calibri"/>
              </w:rPr>
              <w:t>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0C0" w14:textId="34D30D23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</w:t>
            </w:r>
            <w:r w:rsidR="00EA4F37">
              <w:rPr>
                <w:rFonts w:ascii="Avenir Next LT Pro" w:eastAsia="Times New Roman" w:hAnsi="Avenir Next LT Pro" w:cs="Calibri"/>
              </w:rPr>
              <w:t>70</w:t>
            </w:r>
            <w:r w:rsidRPr="00E40271">
              <w:rPr>
                <w:rFonts w:ascii="Avenir Next LT Pro" w:eastAsia="Times New Roman" w:hAnsi="Avenir Next LT Pro" w:cs="Calibri"/>
              </w:rPr>
              <w:t xml:space="preserve">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32E5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3710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194E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C3E5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71" w:rsidRPr="00E40271" w14:paraId="5413018A" w14:textId="77777777" w:rsidTr="002E62C3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6EA1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0E4D" w14:textId="77777777" w:rsidR="00E40271" w:rsidRPr="00E40271" w:rsidRDefault="00E40271" w:rsidP="00E40271">
            <w:pPr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First Time - Non-Member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475" w14:textId="37D3128D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$7</w:t>
            </w:r>
            <w:r w:rsidR="0058120F">
              <w:rPr>
                <w:rFonts w:ascii="Avenir Next LT Pro" w:eastAsia="Times New Roman" w:hAnsi="Avenir Next LT Pro" w:cs="Calibri"/>
              </w:rPr>
              <w:t>6</w:t>
            </w:r>
            <w:r w:rsidR="00F36A48">
              <w:rPr>
                <w:rFonts w:ascii="Avenir Next LT Pro" w:eastAsia="Times New Roman" w:hAnsi="Avenir Next LT Pro" w:cs="Calibri"/>
              </w:rPr>
              <w:t>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717" w14:textId="03D6DD3E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$8</w:t>
            </w:r>
            <w:r w:rsidR="00075E2C">
              <w:rPr>
                <w:rFonts w:ascii="Avenir Next LT Pro" w:eastAsia="Times New Roman" w:hAnsi="Avenir Next LT Pro" w:cs="Calibri"/>
              </w:rPr>
              <w:t>6</w:t>
            </w:r>
            <w:r w:rsidRPr="00E40271">
              <w:rPr>
                <w:rFonts w:ascii="Avenir Next LT Pro" w:eastAsia="Times New Roman" w:hAnsi="Avenir Next LT Pro" w:cs="Calibri"/>
              </w:rPr>
              <w:t xml:space="preserve">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DE58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Yes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D2E1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AD5A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FE3C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71" w:rsidRPr="00E40271" w14:paraId="63EF2635" w14:textId="77777777" w:rsidTr="002E62C3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E3D8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812" w14:textId="77777777" w:rsidR="00E40271" w:rsidRPr="00E40271" w:rsidRDefault="00E40271" w:rsidP="00E40271">
            <w:pPr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Full Conference - Member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F519" w14:textId="43D48BFF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$6</w:t>
            </w:r>
            <w:r w:rsidR="00EA4F37">
              <w:rPr>
                <w:rFonts w:ascii="Avenir Next LT Pro" w:eastAsia="Times New Roman" w:hAnsi="Avenir Next LT Pro" w:cs="Calibri"/>
              </w:rPr>
              <w:t>5</w:t>
            </w:r>
            <w:r w:rsidR="00B86402">
              <w:rPr>
                <w:rFonts w:ascii="Avenir Next LT Pro" w:eastAsia="Times New Roman" w:hAnsi="Avenir Next LT Pro" w:cs="Calibri"/>
              </w:rPr>
              <w:t>0</w:t>
            </w:r>
            <w:r w:rsidRPr="00E40271">
              <w:rPr>
                <w:rFonts w:ascii="Avenir Next LT Pro" w:eastAsia="Times New Roman" w:hAnsi="Avenir Next LT Pro" w:cs="Calibri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94C" w14:textId="750190AB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</w:t>
            </w:r>
            <w:r w:rsidR="00B86402">
              <w:rPr>
                <w:rFonts w:ascii="Avenir Next LT Pro" w:eastAsia="Times New Roman" w:hAnsi="Avenir Next LT Pro" w:cs="Calibri"/>
              </w:rPr>
              <w:t>7</w:t>
            </w:r>
            <w:r w:rsidR="00EA4F37">
              <w:rPr>
                <w:rFonts w:ascii="Avenir Next LT Pro" w:eastAsia="Times New Roman" w:hAnsi="Avenir Next LT Pro" w:cs="Calibri"/>
              </w:rPr>
              <w:t>5</w:t>
            </w:r>
            <w:r w:rsidR="00B86402">
              <w:rPr>
                <w:rFonts w:ascii="Avenir Next LT Pro" w:eastAsia="Times New Roman" w:hAnsi="Avenir Next LT Pro" w:cs="Calibri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857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3022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499D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EDE4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71" w:rsidRPr="00E40271" w14:paraId="2DE80BDA" w14:textId="77777777" w:rsidTr="002E62C3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AC1F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1E8A" w14:textId="77777777" w:rsidR="00E40271" w:rsidRPr="00E40271" w:rsidRDefault="00E40271" w:rsidP="00E40271">
            <w:pPr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Full Conference - Non-Member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88F1" w14:textId="3F583700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</w:t>
            </w:r>
            <w:r w:rsidR="00433ABD">
              <w:rPr>
                <w:rFonts w:ascii="Avenir Next LT Pro" w:eastAsia="Times New Roman" w:hAnsi="Avenir Next LT Pro" w:cs="Calibri"/>
              </w:rPr>
              <w:t>8</w:t>
            </w:r>
            <w:r w:rsidR="00075E2C">
              <w:rPr>
                <w:rFonts w:ascii="Avenir Next LT Pro" w:eastAsia="Times New Roman" w:hAnsi="Avenir Next LT Pro" w:cs="Calibri"/>
              </w:rPr>
              <w:t>1</w:t>
            </w:r>
            <w:r w:rsidR="00433ABD">
              <w:rPr>
                <w:rFonts w:ascii="Avenir Next LT Pro" w:eastAsia="Times New Roman" w:hAnsi="Avenir Next LT Pro" w:cs="Calibri"/>
              </w:rPr>
              <w:t>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C92" w14:textId="3AB8A720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</w:t>
            </w:r>
            <w:r w:rsidR="00433ABD">
              <w:rPr>
                <w:rFonts w:ascii="Avenir Next LT Pro" w:eastAsia="Times New Roman" w:hAnsi="Avenir Next LT Pro" w:cs="Calibri"/>
              </w:rPr>
              <w:t>9</w:t>
            </w:r>
            <w:r w:rsidR="00075E2C">
              <w:rPr>
                <w:rFonts w:ascii="Avenir Next LT Pro" w:eastAsia="Times New Roman" w:hAnsi="Avenir Next LT Pro" w:cs="Calibri"/>
              </w:rPr>
              <w:t>1</w:t>
            </w:r>
            <w:r w:rsidR="00B86402">
              <w:rPr>
                <w:rFonts w:ascii="Avenir Next LT Pro" w:eastAsia="Times New Roman" w:hAnsi="Avenir Next LT Pro" w:cs="Calibri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A32A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Yes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7246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D679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C14A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71" w:rsidRPr="00E40271" w14:paraId="7641606B" w14:textId="77777777" w:rsidTr="002E62C3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71D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90DC" w14:textId="77777777" w:rsidR="00E40271" w:rsidRPr="00E40271" w:rsidRDefault="00E40271" w:rsidP="00E40271">
            <w:pPr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Full Conference Retired Member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325" w14:textId="6DBA5313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$3</w:t>
            </w:r>
            <w:r w:rsidR="00433ABD">
              <w:rPr>
                <w:rFonts w:ascii="Avenir Next LT Pro" w:eastAsia="Times New Roman" w:hAnsi="Avenir Next LT Pro" w:cs="Calibri"/>
              </w:rPr>
              <w:t>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982" w14:textId="02CF1F65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</w:t>
            </w:r>
            <w:r w:rsidR="00B86402">
              <w:rPr>
                <w:rFonts w:ascii="Avenir Next LT Pro" w:eastAsia="Times New Roman" w:hAnsi="Avenir Next LT Pro" w:cs="Calibri"/>
              </w:rPr>
              <w:t>4</w:t>
            </w:r>
            <w:r w:rsidR="00433ABD">
              <w:rPr>
                <w:rFonts w:ascii="Avenir Next LT Pro" w:eastAsia="Times New Roman" w:hAnsi="Avenir Next LT Pro" w:cs="Calibri"/>
              </w:rPr>
              <w:t>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C9E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EB74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8181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23D4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71" w:rsidRPr="00E40271" w14:paraId="2A941A61" w14:textId="77777777" w:rsidTr="002E62C3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D1FF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F77A" w14:textId="7FA3C980" w:rsidR="00E40271" w:rsidRPr="00E40271" w:rsidRDefault="00B86402" w:rsidP="00E40271">
            <w:pPr>
              <w:rPr>
                <w:rFonts w:ascii="Avenir Next LT Pro" w:eastAsia="Times New Roman" w:hAnsi="Avenir Next LT Pro" w:cs="Calibri"/>
              </w:rPr>
            </w:pPr>
            <w:r>
              <w:rPr>
                <w:rFonts w:ascii="Avenir Next LT Pro" w:eastAsia="Times New Roman" w:hAnsi="Avenir Next LT Pro" w:cs="Calibri"/>
              </w:rPr>
              <w:t xml:space="preserve">Full Conference </w:t>
            </w:r>
            <w:r w:rsidR="00E40271" w:rsidRPr="00E40271">
              <w:rPr>
                <w:rFonts w:ascii="Avenir Next LT Pro" w:eastAsia="Times New Roman" w:hAnsi="Avenir Next LT Pro" w:cs="Calibri"/>
              </w:rPr>
              <w:t>Student Member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0D58" w14:textId="13434C61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$3</w:t>
            </w:r>
            <w:r w:rsidR="00433ABD">
              <w:rPr>
                <w:rFonts w:ascii="Avenir Next LT Pro" w:eastAsia="Times New Roman" w:hAnsi="Avenir Next LT Pro" w:cs="Calibri"/>
              </w:rPr>
              <w:t>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C8F" w14:textId="7E97943C" w:rsidR="00E40271" w:rsidRPr="00E40271" w:rsidRDefault="00E40271" w:rsidP="00433ABD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</w:t>
            </w:r>
            <w:r w:rsidR="00B86402">
              <w:rPr>
                <w:rFonts w:ascii="Avenir Next LT Pro" w:eastAsia="Times New Roman" w:hAnsi="Avenir Next LT Pro" w:cs="Calibri"/>
              </w:rPr>
              <w:t>4</w:t>
            </w:r>
            <w:r w:rsidR="00433ABD">
              <w:rPr>
                <w:rFonts w:ascii="Avenir Next LT Pro" w:eastAsia="Times New Roman" w:hAnsi="Avenir Next LT Pro" w:cs="Calibri"/>
              </w:rPr>
              <w:t>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E81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DB90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EED7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8B8B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71" w:rsidRPr="00E40271" w14:paraId="1C5C7364" w14:textId="77777777" w:rsidTr="002E62C3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CEA3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FD10" w14:textId="26213809" w:rsidR="00E40271" w:rsidRPr="00E40271" w:rsidRDefault="00B86402" w:rsidP="00E40271">
            <w:pPr>
              <w:rPr>
                <w:rFonts w:ascii="Avenir Next LT Pro" w:eastAsia="Times New Roman" w:hAnsi="Avenir Next LT Pro" w:cs="Calibri"/>
              </w:rPr>
            </w:pPr>
            <w:r>
              <w:rPr>
                <w:rFonts w:ascii="Avenir Next LT Pro" w:eastAsia="Times New Roman" w:hAnsi="Avenir Next LT Pro" w:cs="Calibri"/>
              </w:rPr>
              <w:t xml:space="preserve">Full Conference </w:t>
            </w:r>
            <w:r w:rsidR="00E40271" w:rsidRPr="00E40271">
              <w:rPr>
                <w:rFonts w:ascii="Avenir Next LT Pro" w:eastAsia="Times New Roman" w:hAnsi="Avenir Next LT Pro" w:cs="Calibri"/>
              </w:rPr>
              <w:t>Student Non-Member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AFC" w14:textId="4DFB3AFD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</w:t>
            </w:r>
            <w:r w:rsidR="00F234B0">
              <w:rPr>
                <w:rFonts w:ascii="Avenir Next LT Pro" w:eastAsia="Times New Roman" w:hAnsi="Avenir Next LT Pro" w:cs="Calibri"/>
              </w:rPr>
              <w:t>42</w:t>
            </w:r>
            <w:r w:rsidR="005C21CA">
              <w:rPr>
                <w:rFonts w:ascii="Avenir Next LT Pro" w:eastAsia="Times New Roman" w:hAnsi="Avenir Next LT Pro" w:cs="Calibri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38D" w14:textId="7FAA77E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$4</w:t>
            </w:r>
            <w:r w:rsidR="00F234B0">
              <w:rPr>
                <w:rFonts w:ascii="Avenir Next LT Pro" w:eastAsia="Times New Roman" w:hAnsi="Avenir Next LT Pro" w:cs="Calibri"/>
              </w:rPr>
              <w:t>7</w:t>
            </w:r>
            <w:r w:rsidR="005C21CA">
              <w:rPr>
                <w:rFonts w:ascii="Avenir Next LT Pro" w:eastAsia="Times New Roman" w:hAnsi="Avenir Next LT Pro" w:cs="Calibri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F64B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Yes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6E91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89EA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BCA9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71" w:rsidRPr="00E40271" w14:paraId="00DCD9E5" w14:textId="77777777" w:rsidTr="002E62C3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8E8F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C582" w14:textId="77777777" w:rsidR="00E40271" w:rsidRPr="00E40271" w:rsidRDefault="00E40271" w:rsidP="00E40271">
            <w:pPr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Daily Rate - Member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9F4" w14:textId="59292F55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$3</w:t>
            </w:r>
            <w:r w:rsidR="00433ABD">
              <w:rPr>
                <w:rFonts w:ascii="Avenir Next LT Pro" w:eastAsia="Times New Roman" w:hAnsi="Avenir Next LT Pro" w:cs="Calibri"/>
              </w:rPr>
              <w:t>6</w:t>
            </w:r>
            <w:r w:rsidRPr="00E40271">
              <w:rPr>
                <w:rFonts w:ascii="Avenir Next LT Pro" w:eastAsia="Times New Roman" w:hAnsi="Avenir Next LT Pro" w:cs="Calibri"/>
              </w:rPr>
              <w:t xml:space="preserve">0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DE6" w14:textId="4B1EC0EA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</w:t>
            </w:r>
            <w:r w:rsidR="00433ABD">
              <w:rPr>
                <w:rFonts w:ascii="Avenir Next LT Pro" w:eastAsia="Times New Roman" w:hAnsi="Avenir Next LT Pro" w:cs="Calibri"/>
              </w:rPr>
              <w:t>41</w:t>
            </w:r>
            <w:r w:rsidRPr="00E40271">
              <w:rPr>
                <w:rFonts w:ascii="Avenir Next LT Pro" w:eastAsia="Times New Roman" w:hAnsi="Avenir Next LT Pro" w:cs="Calibri"/>
              </w:rPr>
              <w:t xml:space="preserve">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DEDA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130E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F354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9EEE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71" w:rsidRPr="00E40271" w14:paraId="51C2542F" w14:textId="77777777" w:rsidTr="002E62C3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D9F8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C648" w14:textId="77777777" w:rsidR="00E40271" w:rsidRPr="00E40271" w:rsidRDefault="00E40271" w:rsidP="00E40271">
            <w:pPr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Daily Rate - Non-Member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6633" w14:textId="7DAFFE0A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</w:t>
            </w:r>
            <w:r w:rsidR="00310736">
              <w:rPr>
                <w:rFonts w:ascii="Avenir Next LT Pro" w:eastAsia="Times New Roman" w:hAnsi="Avenir Next LT Pro" w:cs="Calibri"/>
              </w:rPr>
              <w:t>430</w:t>
            </w:r>
            <w:r w:rsidRPr="00E40271">
              <w:rPr>
                <w:rFonts w:ascii="Avenir Next LT Pro" w:eastAsia="Times New Roman" w:hAnsi="Avenir Next LT Pro" w:cs="Calibri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0E7" w14:textId="69FAA93C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$4</w:t>
            </w:r>
            <w:r w:rsidR="005C21CA">
              <w:rPr>
                <w:rFonts w:ascii="Avenir Next LT Pro" w:eastAsia="Times New Roman" w:hAnsi="Avenir Next LT Pro" w:cs="Calibri"/>
              </w:rPr>
              <w:t>8</w:t>
            </w:r>
            <w:r w:rsidRPr="00E40271">
              <w:rPr>
                <w:rFonts w:ascii="Avenir Next LT Pro" w:eastAsia="Times New Roman" w:hAnsi="Avenir Next LT Pro" w:cs="Calibri"/>
              </w:rPr>
              <w:t xml:space="preserve">5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ABF5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  <w:r w:rsidRPr="00E40271">
              <w:rPr>
                <w:rFonts w:ascii="Avenir Next LT Pro" w:eastAsia="Times New Roman" w:hAnsi="Avenir Next LT Pro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BF21" w14:textId="77777777" w:rsidR="00E40271" w:rsidRPr="00E40271" w:rsidRDefault="00E40271" w:rsidP="00E40271">
            <w:pPr>
              <w:jc w:val="center"/>
              <w:rPr>
                <w:rFonts w:ascii="Avenir Next LT Pro" w:eastAsia="Times New Roman" w:hAnsi="Avenir Next LT Pro" w:cs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28C3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7729" w14:textId="77777777" w:rsidR="00E40271" w:rsidRPr="00E40271" w:rsidRDefault="00E40271" w:rsidP="00E40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5"/>
        <w:gridCol w:w="1530"/>
      </w:tblGrid>
      <w:tr w:rsidR="004B2118" w14:paraId="0A7280CD" w14:textId="77777777" w:rsidTr="18A62090">
        <w:trPr>
          <w:jc w:val="center"/>
        </w:trPr>
        <w:tc>
          <w:tcPr>
            <w:tcW w:w="8995" w:type="dxa"/>
            <w:vAlign w:val="center"/>
          </w:tcPr>
          <w:p w14:paraId="5D95B81D" w14:textId="14399F86" w:rsidR="004B2118" w:rsidRPr="00414F3C" w:rsidRDefault="004B2118" w:rsidP="002B0EA7">
            <w:pPr>
              <w:rPr>
                <w:rFonts w:ascii="Avenir Next LT Pro" w:hAnsi="Avenir Next LT Pro"/>
                <w:b/>
                <w:bCs/>
              </w:rPr>
            </w:pPr>
            <w:r w:rsidRPr="00414F3C">
              <w:rPr>
                <w:rFonts w:ascii="Avenir Next LT Pro" w:hAnsi="Avenir Next LT Pro"/>
                <w:b/>
                <w:bCs/>
              </w:rPr>
              <w:t>Registration Fee</w:t>
            </w:r>
          </w:p>
        </w:tc>
        <w:tc>
          <w:tcPr>
            <w:tcW w:w="1530" w:type="dxa"/>
          </w:tcPr>
          <w:p w14:paraId="53C50A00" w14:textId="7C7A2F23" w:rsidR="004B2118" w:rsidRPr="00414F3C" w:rsidRDefault="2FDE4AE0" w:rsidP="002B0EA7">
            <w:pPr>
              <w:jc w:val="right"/>
              <w:rPr>
                <w:rFonts w:ascii="Avenir Next LT Pro" w:hAnsi="Avenir Next LT Pro"/>
              </w:rPr>
            </w:pPr>
            <w:r w:rsidRPr="18A62090">
              <w:rPr>
                <w:rFonts w:ascii="Avenir Next LT Pro" w:hAnsi="Avenir Next LT Pro"/>
              </w:rPr>
              <w:t>$_________</w:t>
            </w:r>
          </w:p>
        </w:tc>
      </w:tr>
      <w:tr w:rsidR="004B2118" w14:paraId="14213E83" w14:textId="77777777" w:rsidTr="18A62090">
        <w:trPr>
          <w:jc w:val="center"/>
        </w:trPr>
        <w:tc>
          <w:tcPr>
            <w:tcW w:w="8995" w:type="dxa"/>
          </w:tcPr>
          <w:p w14:paraId="020FA01A" w14:textId="66F81ADE" w:rsidR="004B2118" w:rsidRPr="00414F3C" w:rsidRDefault="004B2118" w:rsidP="002B0EA7">
            <w:pPr>
              <w:rPr>
                <w:rFonts w:ascii="Avenir Next LT Pro" w:hAnsi="Avenir Next LT Pro"/>
                <w:sz w:val="18"/>
                <w:szCs w:val="18"/>
              </w:rPr>
            </w:pPr>
            <w:r w:rsidRPr="00414F3C">
              <w:rPr>
                <w:rFonts w:ascii="Avenir Next LT Pro" w:hAnsi="Avenir Next LT Pro"/>
                <w:sz w:val="18"/>
                <w:szCs w:val="18"/>
              </w:rPr>
              <w:t xml:space="preserve">Please select the </w:t>
            </w:r>
            <w:r w:rsidR="002B0EA7" w:rsidRPr="00414F3C">
              <w:rPr>
                <w:rFonts w:ascii="Avenir Next LT Pro" w:hAnsi="Avenir Next LT Pro"/>
                <w:sz w:val="18"/>
                <w:szCs w:val="18"/>
              </w:rPr>
              <w:t>appropriate registration fee from the table above</w:t>
            </w:r>
            <w:r w:rsidR="005D32C2">
              <w:rPr>
                <w:rFonts w:ascii="Avenir Next LT Pro" w:hAnsi="Avenir Next LT Pro"/>
                <w:sz w:val="18"/>
                <w:szCs w:val="18"/>
              </w:rPr>
              <w:t xml:space="preserve"> (higher ons</w:t>
            </w:r>
            <w:r w:rsidR="00574BA3">
              <w:rPr>
                <w:rFonts w:ascii="Avenir Next LT Pro" w:hAnsi="Avenir Next LT Pro"/>
                <w:sz w:val="18"/>
                <w:szCs w:val="18"/>
              </w:rPr>
              <w:t xml:space="preserve">ite fees </w:t>
            </w:r>
            <w:r w:rsidR="005D32C2">
              <w:rPr>
                <w:rFonts w:ascii="Avenir Next LT Pro" w:hAnsi="Avenir Next LT Pro"/>
                <w:sz w:val="18"/>
                <w:szCs w:val="18"/>
              </w:rPr>
              <w:t>14-31</w:t>
            </w:r>
            <w:r w:rsidR="00574BA3">
              <w:rPr>
                <w:rFonts w:ascii="Avenir Next LT Pro" w:hAnsi="Avenir Next LT Pro"/>
                <w:sz w:val="18"/>
                <w:szCs w:val="18"/>
              </w:rPr>
              <w:t xml:space="preserve"> October</w:t>
            </w:r>
            <w:r w:rsidR="005D32C2">
              <w:rPr>
                <w:rFonts w:ascii="Avenir Next LT Pro" w:hAnsi="Avenir Next LT Pro"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14:paraId="2C7DC716" w14:textId="77777777" w:rsidR="004B2118" w:rsidRPr="00414F3C" w:rsidRDefault="004B2118" w:rsidP="004B2118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2B0EA7" w14:paraId="23FEAB33" w14:textId="77777777" w:rsidTr="18A62090">
        <w:trPr>
          <w:jc w:val="center"/>
        </w:trPr>
        <w:tc>
          <w:tcPr>
            <w:tcW w:w="8995" w:type="dxa"/>
            <w:shd w:val="clear" w:color="auto" w:fill="D9E2F3" w:themeFill="accent1" w:themeFillTint="33"/>
            <w:vAlign w:val="center"/>
          </w:tcPr>
          <w:p w14:paraId="2F038E68" w14:textId="5518E229" w:rsidR="002B0EA7" w:rsidRPr="00414F3C" w:rsidRDefault="002B0EA7" w:rsidP="002B0EA7">
            <w:pPr>
              <w:rPr>
                <w:rFonts w:ascii="Avenir Next LT Pro" w:hAnsi="Avenir Next LT Pro"/>
                <w:b/>
                <w:bCs/>
              </w:rPr>
            </w:pPr>
            <w:r w:rsidRPr="00414F3C">
              <w:rPr>
                <w:rFonts w:ascii="Avenir Next LT Pro" w:hAnsi="Avenir Next LT Pro"/>
                <w:b/>
                <w:bCs/>
              </w:rPr>
              <w:t>Flights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367AE70D" w14:textId="61DADA44" w:rsidR="002B0EA7" w:rsidRPr="00414F3C" w:rsidRDefault="2FDE4AE0" w:rsidP="002B0EA7">
            <w:pPr>
              <w:jc w:val="right"/>
              <w:rPr>
                <w:rFonts w:ascii="Avenir Next LT Pro" w:hAnsi="Avenir Next LT Pro"/>
              </w:rPr>
            </w:pPr>
            <w:r w:rsidRPr="18A62090">
              <w:rPr>
                <w:rFonts w:ascii="Avenir Next LT Pro" w:hAnsi="Avenir Next LT Pro"/>
              </w:rPr>
              <w:t>$_________</w:t>
            </w:r>
          </w:p>
        </w:tc>
      </w:tr>
      <w:tr w:rsidR="002B0EA7" w14:paraId="2735B68E" w14:textId="77777777" w:rsidTr="18A62090">
        <w:trPr>
          <w:jc w:val="center"/>
        </w:trPr>
        <w:tc>
          <w:tcPr>
            <w:tcW w:w="8995" w:type="dxa"/>
            <w:shd w:val="clear" w:color="auto" w:fill="D9E2F3" w:themeFill="accent1" w:themeFillTint="33"/>
          </w:tcPr>
          <w:p w14:paraId="563E0051" w14:textId="4A5F7C0F" w:rsidR="002B0EA7" w:rsidRPr="00414F3C" w:rsidRDefault="002B0EA7" w:rsidP="002B0EA7">
            <w:pPr>
              <w:rPr>
                <w:rFonts w:ascii="Avenir Next LT Pro" w:hAnsi="Avenir Next LT Pro"/>
                <w:sz w:val="18"/>
                <w:szCs w:val="18"/>
              </w:rPr>
            </w:pPr>
            <w:r w:rsidRPr="00414F3C">
              <w:rPr>
                <w:rFonts w:ascii="Avenir Next LT Pro" w:hAnsi="Avenir Next LT Pro"/>
                <w:sz w:val="18"/>
                <w:szCs w:val="18"/>
              </w:rPr>
              <w:t xml:space="preserve">Use average costs from your region to </w:t>
            </w:r>
            <w:r w:rsidR="009F4B63">
              <w:rPr>
                <w:rFonts w:ascii="Avenir Next LT Pro" w:hAnsi="Avenir Next LT Pro"/>
                <w:sz w:val="18"/>
                <w:szCs w:val="18"/>
              </w:rPr>
              <w:t xml:space="preserve">Heathrow </w:t>
            </w:r>
            <w:r w:rsidRPr="00414F3C">
              <w:rPr>
                <w:rFonts w:ascii="Avenir Next LT Pro" w:hAnsi="Avenir Next LT Pro"/>
                <w:sz w:val="18"/>
                <w:szCs w:val="18"/>
              </w:rPr>
              <w:t>International Airport</w:t>
            </w:r>
            <w:r w:rsidR="00554768">
              <w:rPr>
                <w:rFonts w:ascii="Avenir Next LT Pro" w:hAnsi="Avenir Next LT Pro"/>
                <w:sz w:val="18"/>
                <w:szCs w:val="18"/>
              </w:rPr>
              <w:t xml:space="preserve"> (</w:t>
            </w:r>
            <w:r w:rsidR="006843E1">
              <w:rPr>
                <w:rFonts w:ascii="Avenir Next LT Pro" w:hAnsi="Avenir Next LT Pro"/>
                <w:sz w:val="18"/>
                <w:szCs w:val="18"/>
              </w:rPr>
              <w:t>LHR</w:t>
            </w:r>
            <w:r w:rsidR="00554768">
              <w:rPr>
                <w:rFonts w:ascii="Avenir Next LT Pro" w:hAnsi="Avenir Next LT Pro"/>
                <w:sz w:val="18"/>
                <w:szCs w:val="18"/>
              </w:rPr>
              <w:t>)</w:t>
            </w:r>
            <w:r w:rsidRPr="00414F3C">
              <w:rPr>
                <w:rFonts w:ascii="Avenir Next LT Pro" w:hAnsi="Avenir Next LT Pro"/>
                <w:sz w:val="18"/>
                <w:szCs w:val="18"/>
              </w:rPr>
              <w:t>.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239F0955" w14:textId="77777777" w:rsidR="002B0EA7" w:rsidRPr="00414F3C" w:rsidRDefault="002B0EA7" w:rsidP="002B0EA7">
            <w:pPr>
              <w:jc w:val="right"/>
              <w:rPr>
                <w:rFonts w:ascii="Avenir Next LT Pro" w:hAnsi="Avenir Next LT Pro"/>
              </w:rPr>
            </w:pPr>
          </w:p>
        </w:tc>
      </w:tr>
      <w:tr w:rsidR="002B0EA7" w14:paraId="3E8B7A95" w14:textId="77777777" w:rsidTr="18A62090">
        <w:trPr>
          <w:jc w:val="center"/>
        </w:trPr>
        <w:tc>
          <w:tcPr>
            <w:tcW w:w="8995" w:type="dxa"/>
            <w:vAlign w:val="center"/>
          </w:tcPr>
          <w:p w14:paraId="2FF0321C" w14:textId="21B11E02" w:rsidR="002B0EA7" w:rsidRPr="00414F3C" w:rsidRDefault="002B0EA7" w:rsidP="002B0EA7">
            <w:pPr>
              <w:rPr>
                <w:rFonts w:ascii="Avenir Next LT Pro" w:hAnsi="Avenir Next LT Pro"/>
                <w:b/>
                <w:bCs/>
              </w:rPr>
            </w:pPr>
            <w:r w:rsidRPr="00414F3C">
              <w:rPr>
                <w:rFonts w:ascii="Avenir Next LT Pro" w:hAnsi="Avenir Next LT Pro"/>
                <w:b/>
                <w:bCs/>
              </w:rPr>
              <w:t>Visa</w:t>
            </w:r>
          </w:p>
        </w:tc>
        <w:tc>
          <w:tcPr>
            <w:tcW w:w="1530" w:type="dxa"/>
          </w:tcPr>
          <w:p w14:paraId="2CBF361B" w14:textId="78DD75F7" w:rsidR="002B0EA7" w:rsidRPr="00414F3C" w:rsidRDefault="2FDE4AE0" w:rsidP="002B0EA7">
            <w:pPr>
              <w:jc w:val="right"/>
              <w:rPr>
                <w:rFonts w:ascii="Avenir Next LT Pro" w:hAnsi="Avenir Next LT Pro"/>
              </w:rPr>
            </w:pPr>
            <w:r w:rsidRPr="18A62090">
              <w:rPr>
                <w:rFonts w:ascii="Avenir Next LT Pro" w:hAnsi="Avenir Next LT Pro"/>
              </w:rPr>
              <w:t>$_________</w:t>
            </w:r>
          </w:p>
        </w:tc>
      </w:tr>
      <w:tr w:rsidR="002B0EA7" w14:paraId="45E62F2C" w14:textId="77777777" w:rsidTr="18A62090">
        <w:trPr>
          <w:jc w:val="center"/>
        </w:trPr>
        <w:tc>
          <w:tcPr>
            <w:tcW w:w="8995" w:type="dxa"/>
          </w:tcPr>
          <w:p w14:paraId="0D729C6A" w14:textId="0191A93E" w:rsidR="002B0EA7" w:rsidRPr="00414F3C" w:rsidRDefault="002B0EA7" w:rsidP="002B0EA7">
            <w:pPr>
              <w:rPr>
                <w:rFonts w:ascii="Avenir Next LT Pro" w:hAnsi="Avenir Next LT Pro"/>
                <w:sz w:val="18"/>
                <w:szCs w:val="18"/>
              </w:rPr>
            </w:pPr>
            <w:r w:rsidRPr="00414F3C">
              <w:rPr>
                <w:rFonts w:ascii="Avenir Next LT Pro" w:hAnsi="Avenir Next LT Pro"/>
                <w:sz w:val="18"/>
                <w:szCs w:val="18"/>
              </w:rPr>
              <w:t>Check the type of visa you may need to travel from your country to the U</w:t>
            </w:r>
            <w:r w:rsidR="006843E1">
              <w:rPr>
                <w:rFonts w:ascii="Avenir Next LT Pro" w:hAnsi="Avenir Next LT Pro"/>
                <w:sz w:val="18"/>
                <w:szCs w:val="18"/>
              </w:rPr>
              <w:t>K</w:t>
            </w:r>
          </w:p>
        </w:tc>
        <w:tc>
          <w:tcPr>
            <w:tcW w:w="1530" w:type="dxa"/>
          </w:tcPr>
          <w:p w14:paraId="00E7564B" w14:textId="77777777" w:rsidR="002B0EA7" w:rsidRPr="00414F3C" w:rsidRDefault="002B0EA7" w:rsidP="002B0EA7">
            <w:pPr>
              <w:jc w:val="right"/>
              <w:rPr>
                <w:rFonts w:ascii="Avenir Next LT Pro" w:hAnsi="Avenir Next LT Pro"/>
              </w:rPr>
            </w:pPr>
          </w:p>
        </w:tc>
      </w:tr>
      <w:tr w:rsidR="002B0EA7" w14:paraId="09CD7528" w14:textId="77777777" w:rsidTr="18A62090">
        <w:trPr>
          <w:jc w:val="center"/>
        </w:trPr>
        <w:tc>
          <w:tcPr>
            <w:tcW w:w="8995" w:type="dxa"/>
            <w:shd w:val="clear" w:color="auto" w:fill="D9E2F3" w:themeFill="accent1" w:themeFillTint="33"/>
            <w:vAlign w:val="center"/>
          </w:tcPr>
          <w:p w14:paraId="1A7C5BBC" w14:textId="0ECA3961" w:rsidR="002B0EA7" w:rsidRPr="00414F3C" w:rsidRDefault="002B0EA7" w:rsidP="002B0EA7">
            <w:pPr>
              <w:rPr>
                <w:rFonts w:ascii="Avenir Next LT Pro" w:hAnsi="Avenir Next LT Pro"/>
                <w:b/>
                <w:bCs/>
              </w:rPr>
            </w:pPr>
            <w:r w:rsidRPr="00414F3C">
              <w:rPr>
                <w:rFonts w:ascii="Avenir Next LT Pro" w:hAnsi="Avenir Next LT Pro"/>
                <w:b/>
                <w:bCs/>
              </w:rPr>
              <w:t>Housing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2FD7EDE0" w14:textId="28B9283F" w:rsidR="002B0EA7" w:rsidRPr="00414F3C" w:rsidRDefault="2FDE4AE0" w:rsidP="002B0EA7">
            <w:pPr>
              <w:jc w:val="right"/>
              <w:rPr>
                <w:rFonts w:ascii="Avenir Next LT Pro" w:hAnsi="Avenir Next LT Pro"/>
              </w:rPr>
            </w:pPr>
            <w:r w:rsidRPr="18A62090">
              <w:rPr>
                <w:rFonts w:ascii="Avenir Next LT Pro" w:hAnsi="Avenir Next LT Pro"/>
              </w:rPr>
              <w:t>$_________</w:t>
            </w:r>
          </w:p>
        </w:tc>
      </w:tr>
      <w:tr w:rsidR="002B0EA7" w14:paraId="384EF06B" w14:textId="77777777" w:rsidTr="18A62090">
        <w:trPr>
          <w:jc w:val="center"/>
        </w:trPr>
        <w:tc>
          <w:tcPr>
            <w:tcW w:w="8995" w:type="dxa"/>
            <w:shd w:val="clear" w:color="auto" w:fill="D9E2F3" w:themeFill="accent1" w:themeFillTint="33"/>
            <w:vAlign w:val="center"/>
          </w:tcPr>
          <w:p w14:paraId="1B905192" w14:textId="46F2EF8C" w:rsidR="002B0EA7" w:rsidRPr="00414F3C" w:rsidRDefault="002B0EA7" w:rsidP="002B0EA7">
            <w:pPr>
              <w:rPr>
                <w:rFonts w:ascii="Avenir Next LT Pro" w:hAnsi="Avenir Next LT Pro"/>
                <w:sz w:val="18"/>
                <w:szCs w:val="18"/>
              </w:rPr>
            </w:pPr>
            <w:r w:rsidRPr="00414F3C">
              <w:rPr>
                <w:rFonts w:ascii="Avenir Next LT Pro" w:hAnsi="Avenir Next LT Pro"/>
                <w:sz w:val="18"/>
                <w:szCs w:val="18"/>
              </w:rPr>
              <w:t xml:space="preserve">ASIS&amp;T has secured a competitive hotel rate you can obtain by booking through our housing block. </w:t>
            </w:r>
            <w:r w:rsidR="00015360" w:rsidRPr="00015360">
              <w:rPr>
                <w:rFonts w:ascii="Avenir Next LT Pro" w:hAnsi="Avenir Next LT Pro"/>
                <w:sz w:val="18"/>
                <w:szCs w:val="18"/>
              </w:rPr>
              <w:t>Special Rate Bed &amp; Breakfast at £159.00 Single occupancy &amp; £169.00 Double occupancy</w:t>
            </w:r>
            <w:r w:rsidRPr="00414F3C">
              <w:rPr>
                <w:rFonts w:ascii="Avenir Next LT Pro" w:hAnsi="Avenir Next LT Pro"/>
                <w:sz w:val="18"/>
                <w:szCs w:val="18"/>
              </w:rPr>
              <w:t xml:space="preserve"> per night.</w:t>
            </w:r>
            <w:r w:rsidR="00A60761">
              <w:rPr>
                <w:rFonts w:ascii="Avenir Next LT Pro" w:hAnsi="Avenir Next LT Pro"/>
                <w:sz w:val="18"/>
                <w:szCs w:val="18"/>
              </w:rPr>
              <w:t xml:space="preserve"> VAT included.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A96051D" w14:textId="77777777" w:rsidR="002B0EA7" w:rsidRPr="00414F3C" w:rsidRDefault="002B0EA7" w:rsidP="002B0EA7">
            <w:pPr>
              <w:jc w:val="right"/>
              <w:rPr>
                <w:rFonts w:ascii="Avenir Next LT Pro" w:hAnsi="Avenir Next LT Pro"/>
              </w:rPr>
            </w:pPr>
          </w:p>
        </w:tc>
      </w:tr>
      <w:tr w:rsidR="002B0EA7" w14:paraId="4DAAB57F" w14:textId="77777777" w:rsidTr="18A62090">
        <w:trPr>
          <w:jc w:val="center"/>
        </w:trPr>
        <w:tc>
          <w:tcPr>
            <w:tcW w:w="8995" w:type="dxa"/>
            <w:vAlign w:val="center"/>
          </w:tcPr>
          <w:p w14:paraId="476D35A5" w14:textId="10FC5B7A" w:rsidR="002B0EA7" w:rsidRPr="00414F3C" w:rsidRDefault="002B0EA7" w:rsidP="002B0EA7">
            <w:pPr>
              <w:rPr>
                <w:rFonts w:ascii="Avenir Next LT Pro" w:hAnsi="Avenir Next LT Pro"/>
                <w:b/>
                <w:bCs/>
              </w:rPr>
            </w:pPr>
            <w:r w:rsidRPr="00414F3C">
              <w:rPr>
                <w:rFonts w:ascii="Avenir Next LT Pro" w:hAnsi="Avenir Next LT Pro"/>
                <w:b/>
                <w:bCs/>
              </w:rPr>
              <w:t>Airport Transportation</w:t>
            </w:r>
          </w:p>
        </w:tc>
        <w:tc>
          <w:tcPr>
            <w:tcW w:w="1530" w:type="dxa"/>
          </w:tcPr>
          <w:p w14:paraId="43AFE32B" w14:textId="19DA9AD4" w:rsidR="002B0EA7" w:rsidRPr="00414F3C" w:rsidRDefault="2FDE4AE0" w:rsidP="002B0EA7">
            <w:pPr>
              <w:jc w:val="right"/>
              <w:rPr>
                <w:rFonts w:ascii="Avenir Next LT Pro" w:hAnsi="Avenir Next LT Pro"/>
              </w:rPr>
            </w:pPr>
            <w:r w:rsidRPr="18A62090">
              <w:rPr>
                <w:rFonts w:ascii="Avenir Next LT Pro" w:hAnsi="Avenir Next LT Pro"/>
              </w:rPr>
              <w:t>$_________</w:t>
            </w:r>
          </w:p>
        </w:tc>
      </w:tr>
      <w:tr w:rsidR="002B0EA7" w14:paraId="2ADB8912" w14:textId="77777777" w:rsidTr="18A62090">
        <w:trPr>
          <w:jc w:val="center"/>
        </w:trPr>
        <w:tc>
          <w:tcPr>
            <w:tcW w:w="8995" w:type="dxa"/>
          </w:tcPr>
          <w:p w14:paraId="474294A9" w14:textId="3847D536" w:rsidR="002B0EA7" w:rsidRPr="00414F3C" w:rsidRDefault="00D05EC1" w:rsidP="00D06851">
            <w:pPr>
              <w:rPr>
                <w:rFonts w:ascii="Avenir Next LT Pro" w:hAnsi="Avenir Next LT Pro"/>
                <w:sz w:val="18"/>
                <w:szCs w:val="18"/>
              </w:rPr>
            </w:pPr>
            <w:r w:rsidRPr="00D05EC1">
              <w:rPr>
                <w:rFonts w:ascii="Avenir Next LT Pro" w:hAnsi="Avenir Next LT Pro"/>
                <w:sz w:val="18"/>
                <w:szCs w:val="18"/>
              </w:rPr>
              <w:t>One-way</w:t>
            </w:r>
            <w:r w:rsidR="00077CCB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077CCB" w:rsidRPr="00077CCB">
              <w:rPr>
                <w:rFonts w:ascii="Avenir Next LT Pro" w:hAnsi="Avenir Next LT Pro"/>
                <w:b/>
                <w:bCs/>
                <w:sz w:val="18"/>
                <w:szCs w:val="18"/>
              </w:rPr>
              <w:t>taxi</w:t>
            </w:r>
            <w:r w:rsidRPr="00D05EC1">
              <w:rPr>
                <w:rFonts w:ascii="Avenir Next LT Pro" w:hAnsi="Avenir Next LT Pro"/>
                <w:sz w:val="18"/>
                <w:szCs w:val="18"/>
              </w:rPr>
              <w:t xml:space="preserve"> fare between</w:t>
            </w:r>
            <w:r w:rsidR="005E7086">
              <w:rPr>
                <w:rFonts w:ascii="Avenir Next LT Pro" w:hAnsi="Avenir Next LT Pro"/>
                <w:sz w:val="18"/>
                <w:szCs w:val="18"/>
              </w:rPr>
              <w:t xml:space="preserve"> Heathrow</w:t>
            </w:r>
            <w:r w:rsidRPr="00D05EC1">
              <w:rPr>
                <w:rFonts w:ascii="Avenir Next LT Pro" w:hAnsi="Avenir Next LT Pro"/>
                <w:sz w:val="18"/>
                <w:szCs w:val="18"/>
              </w:rPr>
              <w:t xml:space="preserve"> International Airport and </w:t>
            </w:r>
            <w:r w:rsidR="005E7086">
              <w:rPr>
                <w:rFonts w:ascii="Avenir Next LT Pro" w:hAnsi="Avenir Next LT Pro"/>
                <w:sz w:val="18"/>
                <w:szCs w:val="18"/>
              </w:rPr>
              <w:t xml:space="preserve">the hotel on </w:t>
            </w:r>
            <w:r w:rsidR="005E7086" w:rsidRPr="005E7086">
              <w:rPr>
                <w:rFonts w:ascii="Avenir Next LT Pro" w:hAnsi="Avenir Next LT Pro"/>
                <w:sz w:val="18"/>
                <w:szCs w:val="18"/>
              </w:rPr>
              <w:t>average cost</w:t>
            </w:r>
            <w:r w:rsidR="005E7086">
              <w:rPr>
                <w:rFonts w:ascii="Avenir Next LT Pro" w:hAnsi="Avenir Next LT Pro"/>
                <w:sz w:val="18"/>
                <w:szCs w:val="18"/>
              </w:rPr>
              <w:t>s</w:t>
            </w:r>
            <w:r w:rsidR="005E7086" w:rsidRPr="005E7086">
              <w:rPr>
                <w:rFonts w:ascii="Avenir Next LT Pro" w:hAnsi="Avenir Next LT Pro"/>
                <w:sz w:val="18"/>
                <w:szCs w:val="18"/>
              </w:rPr>
              <w:t xml:space="preserve"> around €105 (£90)</w:t>
            </w:r>
            <w:r w:rsidR="005E7086">
              <w:rPr>
                <w:rFonts w:ascii="Avenir Next LT Pro" w:hAnsi="Avenir Next LT Pro"/>
                <w:sz w:val="18"/>
                <w:szCs w:val="18"/>
              </w:rPr>
              <w:t>.</w:t>
            </w:r>
            <w:r w:rsidR="00275840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275840" w:rsidRPr="00180BC5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Uber </w:t>
            </w:r>
            <w:r w:rsidR="00E3448A">
              <w:rPr>
                <w:rFonts w:ascii="Avenir Next LT Pro" w:hAnsi="Avenir Next LT Pro"/>
                <w:sz w:val="18"/>
                <w:szCs w:val="18"/>
              </w:rPr>
              <w:t xml:space="preserve">is </w:t>
            </w:r>
            <w:r w:rsidR="00275840">
              <w:rPr>
                <w:rFonts w:ascii="Avenir Next LT Pro" w:hAnsi="Avenir Next LT Pro"/>
                <w:sz w:val="18"/>
                <w:szCs w:val="18"/>
              </w:rPr>
              <w:t xml:space="preserve"> authorized</w:t>
            </w:r>
            <w:r w:rsidR="00180BC5">
              <w:rPr>
                <w:rFonts w:ascii="Avenir Next LT Pro" w:hAnsi="Avenir Next LT Pro"/>
                <w:sz w:val="18"/>
                <w:szCs w:val="18"/>
              </w:rPr>
              <w:t xml:space="preserve"> to pick up and drop off passengers.</w:t>
            </w:r>
            <w:r w:rsidR="001C1FB6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3B2187">
              <w:rPr>
                <w:rFonts w:ascii="Avenir Next LT Pro" w:hAnsi="Avenir Next LT Pro"/>
                <w:sz w:val="18"/>
                <w:szCs w:val="18"/>
              </w:rPr>
              <w:t>Less expensive transportation is available by using t</w:t>
            </w:r>
            <w:r w:rsidR="00BD58E5">
              <w:rPr>
                <w:rFonts w:ascii="Avenir Next LT Pro" w:hAnsi="Avenir Next LT Pro"/>
                <w:sz w:val="18"/>
                <w:szCs w:val="18"/>
              </w:rPr>
              <w:t xml:space="preserve">he underground subway system, “the Tube” </w:t>
            </w:r>
            <w:r w:rsidR="003B2187">
              <w:rPr>
                <w:rFonts w:ascii="Avenir Next LT Pro" w:hAnsi="Avenir Next LT Pro"/>
                <w:sz w:val="18"/>
                <w:szCs w:val="18"/>
              </w:rPr>
              <w:t xml:space="preserve">which </w:t>
            </w:r>
            <w:r w:rsidR="00BD58E5">
              <w:rPr>
                <w:rFonts w:ascii="Avenir Next LT Pro" w:hAnsi="Avenir Next LT Pro"/>
                <w:sz w:val="18"/>
                <w:szCs w:val="18"/>
              </w:rPr>
              <w:t>has stations at Heathrow</w:t>
            </w:r>
            <w:r w:rsidR="003B2187">
              <w:rPr>
                <w:rFonts w:ascii="Avenir Next LT Pro" w:hAnsi="Avenir Next LT Pro"/>
                <w:sz w:val="18"/>
                <w:szCs w:val="18"/>
              </w:rPr>
              <w:t xml:space="preserve"> and stops near the hotel in Hammersmith.</w:t>
            </w:r>
          </w:p>
        </w:tc>
        <w:tc>
          <w:tcPr>
            <w:tcW w:w="1530" w:type="dxa"/>
          </w:tcPr>
          <w:p w14:paraId="604DFC79" w14:textId="77777777" w:rsidR="002B0EA7" w:rsidRPr="00414F3C" w:rsidRDefault="002B0EA7" w:rsidP="002B0EA7">
            <w:pPr>
              <w:jc w:val="right"/>
              <w:rPr>
                <w:rFonts w:ascii="Avenir Next LT Pro" w:hAnsi="Avenir Next LT Pro"/>
              </w:rPr>
            </w:pPr>
          </w:p>
        </w:tc>
      </w:tr>
      <w:tr w:rsidR="00D06851" w14:paraId="1AF23070" w14:textId="77777777" w:rsidTr="003B2187">
        <w:trPr>
          <w:jc w:val="center"/>
        </w:trPr>
        <w:tc>
          <w:tcPr>
            <w:tcW w:w="8995" w:type="dxa"/>
            <w:shd w:val="clear" w:color="auto" w:fill="D9E2F3" w:themeFill="accent1" w:themeFillTint="33"/>
            <w:vAlign w:val="center"/>
          </w:tcPr>
          <w:p w14:paraId="5B6F7C77" w14:textId="0372DDBD" w:rsidR="001C1FB6" w:rsidRDefault="003B2187" w:rsidP="00D06851">
            <w:pPr>
              <w:rPr>
                <w:rFonts w:ascii="Avenir Next LT Pro" w:hAnsi="Avenir Next LT Pro"/>
                <w:b/>
                <w:bCs/>
              </w:rPr>
            </w:pPr>
            <w:r w:rsidRPr="003B2187">
              <w:rPr>
                <w:rFonts w:ascii="Avenir Next LT Pro" w:hAnsi="Avenir Next LT Pro"/>
                <w:b/>
                <w:bCs/>
              </w:rPr>
              <w:t>Meals</w:t>
            </w:r>
          </w:p>
          <w:p w14:paraId="13337277" w14:textId="3C7E97AA" w:rsidR="00D06851" w:rsidRPr="00414F3C" w:rsidRDefault="006736FB" w:rsidP="00D06851">
            <w:pPr>
              <w:rPr>
                <w:rFonts w:ascii="Avenir Next LT Pro" w:hAnsi="Avenir Next LT Pro"/>
                <w:b/>
                <w:bCs/>
              </w:rPr>
            </w:pPr>
            <w:r w:rsidRPr="00414F3C">
              <w:rPr>
                <w:rFonts w:ascii="Avenir Next LT Pro" w:hAnsi="Avenir Next LT Pro"/>
                <w:sz w:val="18"/>
                <w:szCs w:val="18"/>
              </w:rPr>
              <w:t xml:space="preserve">Attend </w:t>
            </w:r>
            <w:r>
              <w:rPr>
                <w:rFonts w:ascii="Avenir Next LT Pro" w:hAnsi="Avenir Next LT Pro"/>
                <w:sz w:val="18"/>
                <w:szCs w:val="18"/>
              </w:rPr>
              <w:t>the awards luncheon,</w:t>
            </w:r>
            <w:r w:rsidRPr="00414F3C">
              <w:rPr>
                <w:rFonts w:ascii="Avenir Next LT Pro" w:hAnsi="Avenir Next LT Pro"/>
                <w:sz w:val="18"/>
                <w:szCs w:val="18"/>
              </w:rPr>
              <w:t xml:space="preserve"> business meeting and </w:t>
            </w:r>
            <w:r>
              <w:rPr>
                <w:rFonts w:ascii="Avenir Next LT Pro" w:hAnsi="Avenir Next LT Pro"/>
                <w:sz w:val="18"/>
                <w:szCs w:val="18"/>
              </w:rPr>
              <w:t xml:space="preserve">breakfast, </w:t>
            </w:r>
            <w:r w:rsidRPr="00414F3C">
              <w:rPr>
                <w:rFonts w:ascii="Avenir Next LT Pro" w:hAnsi="Avenir Next LT Pro"/>
                <w:sz w:val="18"/>
                <w:szCs w:val="18"/>
              </w:rPr>
              <w:t>workshops</w:t>
            </w:r>
            <w:r>
              <w:rPr>
                <w:rFonts w:ascii="Avenir Next LT Pro" w:hAnsi="Avenir Next LT Pro"/>
                <w:sz w:val="18"/>
                <w:szCs w:val="18"/>
              </w:rPr>
              <w:t>,</w:t>
            </w:r>
            <w:r w:rsidRPr="00414F3C">
              <w:rPr>
                <w:rFonts w:ascii="Avenir Next LT Pro" w:hAnsi="Avenir Next LT Pro"/>
                <w:sz w:val="18"/>
                <w:szCs w:val="18"/>
              </w:rPr>
              <w:t xml:space="preserve"> welcome reception</w:t>
            </w:r>
            <w:r>
              <w:rPr>
                <w:rFonts w:ascii="Avenir Next LT Pro" w:hAnsi="Avenir Next LT Pro"/>
                <w:sz w:val="18"/>
                <w:szCs w:val="18"/>
              </w:rPr>
              <w:t>,</w:t>
            </w:r>
            <w:r w:rsidRPr="00414F3C">
              <w:rPr>
                <w:rFonts w:ascii="Avenir Next LT Pro" w:hAnsi="Avenir Next LT Pro"/>
                <w:sz w:val="18"/>
                <w:szCs w:val="18"/>
              </w:rPr>
              <w:t xml:space="preserve"> president’s reception</w:t>
            </w:r>
            <w:r>
              <w:rPr>
                <w:rFonts w:ascii="Avenir Next LT Pro" w:hAnsi="Avenir Next LT Pro"/>
                <w:sz w:val="18"/>
                <w:szCs w:val="18"/>
              </w:rPr>
              <w:t xml:space="preserve"> and </w:t>
            </w:r>
            <w:r w:rsidRPr="00414F3C">
              <w:rPr>
                <w:rFonts w:ascii="Avenir Next LT Pro" w:hAnsi="Avenir Next LT Pro"/>
                <w:sz w:val="18"/>
                <w:szCs w:val="18"/>
              </w:rPr>
              <w:t>poster presentations,</w:t>
            </w:r>
            <w:r>
              <w:rPr>
                <w:rFonts w:ascii="Avenir Next LT Pro" w:hAnsi="Avenir Next LT Pro"/>
                <w:sz w:val="18"/>
                <w:szCs w:val="18"/>
              </w:rPr>
              <w:t xml:space="preserve"> closing plenary luncheon,</w:t>
            </w:r>
            <w:r w:rsidRPr="00414F3C">
              <w:rPr>
                <w:rFonts w:ascii="Avenir Next LT Pro" w:hAnsi="Avenir Next LT Pro"/>
                <w:sz w:val="18"/>
                <w:szCs w:val="18"/>
              </w:rPr>
              <w:t xml:space="preserve"> and other events</w:t>
            </w:r>
            <w:r>
              <w:rPr>
                <w:rFonts w:ascii="Avenir Next LT Pro" w:hAnsi="Avenir Next LT Pro"/>
                <w:sz w:val="18"/>
                <w:szCs w:val="18"/>
              </w:rPr>
              <w:t xml:space="preserve"> where food is served</w:t>
            </w:r>
            <w:r w:rsidRPr="00414F3C">
              <w:rPr>
                <w:rFonts w:ascii="Avenir Next LT Pro" w:hAnsi="Avenir Next LT Pro"/>
                <w:sz w:val="18"/>
                <w:szCs w:val="18"/>
              </w:rPr>
              <w:t xml:space="preserve"> to save on meals.  </w:t>
            </w:r>
            <w:r>
              <w:rPr>
                <w:rFonts w:ascii="Avenir Next LT Pro" w:hAnsi="Avenir Next LT Pro"/>
                <w:sz w:val="18"/>
                <w:szCs w:val="18"/>
              </w:rPr>
              <w:t>If you stay at the Novotel Hotel, breakfast is included.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37BAF913" w14:textId="2E280E35" w:rsidR="00D06851" w:rsidRPr="00414F3C" w:rsidRDefault="5AD75492" w:rsidP="002B0EA7">
            <w:pPr>
              <w:jc w:val="right"/>
              <w:rPr>
                <w:rFonts w:ascii="Avenir Next LT Pro" w:hAnsi="Avenir Next LT Pro"/>
              </w:rPr>
            </w:pPr>
            <w:r w:rsidRPr="18A62090">
              <w:rPr>
                <w:rFonts w:ascii="Avenir Next LT Pro" w:hAnsi="Avenir Next LT Pro"/>
              </w:rPr>
              <w:t>$_________</w:t>
            </w:r>
          </w:p>
        </w:tc>
      </w:tr>
      <w:tr w:rsidR="00D06851" w14:paraId="03ACEE38" w14:textId="77777777" w:rsidTr="003B2187">
        <w:trPr>
          <w:jc w:val="center"/>
        </w:trPr>
        <w:tc>
          <w:tcPr>
            <w:tcW w:w="8995" w:type="dxa"/>
            <w:shd w:val="clear" w:color="auto" w:fill="D9E2F3" w:themeFill="accent1" w:themeFillTint="33"/>
          </w:tcPr>
          <w:p w14:paraId="2573A49E" w14:textId="241588B1" w:rsidR="00D06851" w:rsidRPr="00414F3C" w:rsidRDefault="00D06851" w:rsidP="00D06851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607F0342" w14:textId="61D7C64F" w:rsidR="00D06851" w:rsidRPr="00414F3C" w:rsidRDefault="00D06851" w:rsidP="00D06851">
            <w:pPr>
              <w:jc w:val="center"/>
              <w:rPr>
                <w:rFonts w:ascii="Avenir Next LT Pro" w:hAnsi="Avenir Next LT Pro"/>
                <w:color w:val="000000" w:themeColor="text1"/>
                <w:u w:val="double"/>
              </w:rPr>
            </w:pPr>
          </w:p>
        </w:tc>
      </w:tr>
      <w:tr w:rsidR="00D06851" w14:paraId="4F0E9760" w14:textId="77777777" w:rsidTr="18A62090">
        <w:trPr>
          <w:jc w:val="center"/>
        </w:trPr>
        <w:tc>
          <w:tcPr>
            <w:tcW w:w="8995" w:type="dxa"/>
          </w:tcPr>
          <w:p w14:paraId="5A6E45FA" w14:textId="77777777" w:rsidR="00414F3C" w:rsidRPr="00152B9D" w:rsidRDefault="00414F3C" w:rsidP="00D06851">
            <w:pPr>
              <w:jc w:val="right"/>
              <w:rPr>
                <w:rFonts w:ascii="Avenir Next LT Pro" w:hAnsi="Avenir Next LT Pro"/>
                <w:b/>
                <w:bCs/>
                <w:color w:val="C74822"/>
              </w:rPr>
            </w:pPr>
          </w:p>
          <w:p w14:paraId="1F54A0CA" w14:textId="02BAFC50" w:rsidR="00D06851" w:rsidRPr="00152B9D" w:rsidRDefault="00D06851" w:rsidP="00D06851">
            <w:pPr>
              <w:jc w:val="right"/>
              <w:rPr>
                <w:rFonts w:ascii="Avenir Next LT Pro" w:hAnsi="Avenir Next LT Pro"/>
                <w:b/>
                <w:bCs/>
                <w:color w:val="C74822"/>
              </w:rPr>
            </w:pPr>
            <w:r w:rsidRPr="006736FB">
              <w:rPr>
                <w:rFonts w:ascii="Avenir Next LT Pro" w:hAnsi="Avenir Next LT Pro"/>
                <w:b/>
                <w:bCs/>
                <w:color w:val="FF0000"/>
              </w:rPr>
              <w:t>TOTAL</w:t>
            </w:r>
          </w:p>
        </w:tc>
        <w:tc>
          <w:tcPr>
            <w:tcW w:w="1530" w:type="dxa"/>
          </w:tcPr>
          <w:p w14:paraId="5CB22C73" w14:textId="77777777" w:rsidR="00414F3C" w:rsidRPr="00414F3C" w:rsidRDefault="00414F3C" w:rsidP="002B0EA7">
            <w:pPr>
              <w:jc w:val="right"/>
              <w:rPr>
                <w:rFonts w:ascii="Avenir Next LT Pro" w:hAnsi="Avenir Next LT Pro"/>
              </w:rPr>
            </w:pPr>
          </w:p>
          <w:p w14:paraId="0CA91EC8" w14:textId="6CACCB83" w:rsidR="00D06851" w:rsidRPr="00414F3C" w:rsidRDefault="5AD75492" w:rsidP="002B0EA7">
            <w:pPr>
              <w:jc w:val="right"/>
              <w:rPr>
                <w:rFonts w:ascii="Avenir Next LT Pro" w:hAnsi="Avenir Next LT Pro"/>
              </w:rPr>
            </w:pPr>
            <w:r w:rsidRPr="18A62090">
              <w:rPr>
                <w:rFonts w:ascii="Avenir Next LT Pro" w:hAnsi="Avenir Next LT Pro"/>
              </w:rPr>
              <w:t>$_________</w:t>
            </w:r>
          </w:p>
        </w:tc>
      </w:tr>
    </w:tbl>
    <w:p w14:paraId="5C78E1D5" w14:textId="77777777" w:rsidR="004B2118" w:rsidRDefault="004B2118" w:rsidP="00374795"/>
    <w:sectPr w:rsidR="004B2118" w:rsidSect="0037479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1081" w14:textId="77777777" w:rsidR="00A46BD2" w:rsidRDefault="00A46BD2" w:rsidP="004B2118">
      <w:r>
        <w:separator/>
      </w:r>
    </w:p>
  </w:endnote>
  <w:endnote w:type="continuationSeparator" w:id="0">
    <w:p w14:paraId="07C35AA5" w14:textId="77777777" w:rsidR="00A46BD2" w:rsidRDefault="00A46BD2" w:rsidP="004B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Bold">
    <w:altName w:val="Calibri"/>
    <w:panose1 w:val="00000000000000000000"/>
    <w:charset w:val="4D"/>
    <w:family w:val="swiss"/>
    <w:notTrueType/>
    <w:pitch w:val="variable"/>
    <w:sig w:usb0="A000022F" w:usb1="0000005B" w:usb2="00000000" w:usb3="00000000" w:csb0="00000097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DD27" w14:textId="77777777" w:rsidR="00A46BD2" w:rsidRDefault="00A46BD2" w:rsidP="004B2118">
      <w:r>
        <w:separator/>
      </w:r>
    </w:p>
  </w:footnote>
  <w:footnote w:type="continuationSeparator" w:id="0">
    <w:p w14:paraId="4B1F0BFE" w14:textId="77777777" w:rsidR="00A46BD2" w:rsidRDefault="00A46BD2" w:rsidP="004B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F553" w14:textId="77777777" w:rsidR="004B2118" w:rsidRDefault="004B2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DC"/>
    <w:rsid w:val="00013FDB"/>
    <w:rsid w:val="00015360"/>
    <w:rsid w:val="00075E2C"/>
    <w:rsid w:val="00077CCB"/>
    <w:rsid w:val="00152B9D"/>
    <w:rsid w:val="00180BC5"/>
    <w:rsid w:val="001C1FB6"/>
    <w:rsid w:val="00275840"/>
    <w:rsid w:val="002B0EA7"/>
    <w:rsid w:val="002D3954"/>
    <w:rsid w:val="002D4556"/>
    <w:rsid w:val="002E62C3"/>
    <w:rsid w:val="00310736"/>
    <w:rsid w:val="0035106F"/>
    <w:rsid w:val="00374795"/>
    <w:rsid w:val="003A6345"/>
    <w:rsid w:val="003B2187"/>
    <w:rsid w:val="003D3876"/>
    <w:rsid w:val="003E144A"/>
    <w:rsid w:val="00414F3C"/>
    <w:rsid w:val="00433ABD"/>
    <w:rsid w:val="004B2118"/>
    <w:rsid w:val="004D6854"/>
    <w:rsid w:val="005353B0"/>
    <w:rsid w:val="00554768"/>
    <w:rsid w:val="00574BA3"/>
    <w:rsid w:val="0058120F"/>
    <w:rsid w:val="005C21CA"/>
    <w:rsid w:val="005D32C2"/>
    <w:rsid w:val="005E7086"/>
    <w:rsid w:val="006736FB"/>
    <w:rsid w:val="006843E1"/>
    <w:rsid w:val="006A75F1"/>
    <w:rsid w:val="006D53BC"/>
    <w:rsid w:val="00855648"/>
    <w:rsid w:val="00920985"/>
    <w:rsid w:val="009B02FC"/>
    <w:rsid w:val="009F4B63"/>
    <w:rsid w:val="00A455A6"/>
    <w:rsid w:val="00A46BD2"/>
    <w:rsid w:val="00A60761"/>
    <w:rsid w:val="00A61FF5"/>
    <w:rsid w:val="00B20387"/>
    <w:rsid w:val="00B42ADC"/>
    <w:rsid w:val="00B86402"/>
    <w:rsid w:val="00BD58E5"/>
    <w:rsid w:val="00BF057A"/>
    <w:rsid w:val="00CB4B59"/>
    <w:rsid w:val="00D05EC1"/>
    <w:rsid w:val="00D06851"/>
    <w:rsid w:val="00D26473"/>
    <w:rsid w:val="00DB3A0E"/>
    <w:rsid w:val="00E3448A"/>
    <w:rsid w:val="00E40271"/>
    <w:rsid w:val="00E572A3"/>
    <w:rsid w:val="00EA4F37"/>
    <w:rsid w:val="00F234B0"/>
    <w:rsid w:val="00F36A48"/>
    <w:rsid w:val="03567534"/>
    <w:rsid w:val="0A5B87F0"/>
    <w:rsid w:val="101A31B0"/>
    <w:rsid w:val="14B718F5"/>
    <w:rsid w:val="16FAB211"/>
    <w:rsid w:val="18A62090"/>
    <w:rsid w:val="18D53E89"/>
    <w:rsid w:val="2E5C31D2"/>
    <w:rsid w:val="2FDE4AE0"/>
    <w:rsid w:val="36AB0BB6"/>
    <w:rsid w:val="38F63C6D"/>
    <w:rsid w:val="39C2F856"/>
    <w:rsid w:val="39F8D628"/>
    <w:rsid w:val="3AD4445C"/>
    <w:rsid w:val="3E4480AB"/>
    <w:rsid w:val="44BC2C1A"/>
    <w:rsid w:val="58CCB65B"/>
    <w:rsid w:val="5AD75492"/>
    <w:rsid w:val="6160BDAC"/>
    <w:rsid w:val="638B731E"/>
    <w:rsid w:val="6FAF60CF"/>
    <w:rsid w:val="7673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9B8A"/>
  <w15:chartTrackingRefBased/>
  <w15:docId w15:val="{55D7CA0E-0713-CB46-87A7-AC76C2F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118"/>
  </w:style>
  <w:style w:type="paragraph" w:styleId="Footer">
    <w:name w:val="footer"/>
    <w:basedOn w:val="Normal"/>
    <w:link w:val="FooterChar"/>
    <w:uiPriority w:val="99"/>
    <w:unhideWhenUsed/>
    <w:rsid w:val="004B2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118"/>
  </w:style>
  <w:style w:type="table" w:styleId="TableGrid">
    <w:name w:val="Table Grid"/>
    <w:basedOn w:val="TableNormal"/>
    <w:uiPriority w:val="39"/>
    <w:rsid w:val="004B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67BB8893134191D9394909D4A940" ma:contentTypeVersion="16" ma:contentTypeDescription="Create a new document." ma:contentTypeScope="" ma:versionID="84a8bca54dccbf11dbfdfff4bbf30625">
  <xsd:schema xmlns:xsd="http://www.w3.org/2001/XMLSchema" xmlns:xs="http://www.w3.org/2001/XMLSchema" xmlns:p="http://schemas.microsoft.com/office/2006/metadata/properties" xmlns:ns2="8f8875c8-43a9-487a-8483-c93934f2a15b" xmlns:ns3="0822d87c-9f4b-4af0-9aff-df69078804cc" targetNamespace="http://schemas.microsoft.com/office/2006/metadata/properties" ma:root="true" ma:fieldsID="28a6e57f700e0aae07757accf168b4cc" ns2:_="" ns3:_="">
    <xsd:import namespace="8f8875c8-43a9-487a-8483-c93934f2a15b"/>
    <xsd:import namespace="0822d87c-9f4b-4af0-9aff-df6907880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875c8-43a9-487a-8483-c93934f2a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130738-f69a-4710-b2a6-acf63018d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d87c-9f4b-4af0-9aff-df6907880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086307-ff82-4070-b711-11eeb6e669a1}" ma:internalName="TaxCatchAll" ma:showField="CatchAllData" ma:web="0822d87c-9f4b-4af0-9aff-df6907880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875c8-43a9-487a-8483-c93934f2a15b">
      <Terms xmlns="http://schemas.microsoft.com/office/infopath/2007/PartnerControls"/>
    </lcf76f155ced4ddcb4097134ff3c332f>
    <TaxCatchAll xmlns="0822d87c-9f4b-4af0-9aff-df69078804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FF12D-ABEB-434D-9F49-8DAAA508A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875c8-43a9-487a-8483-c93934f2a15b"/>
    <ds:schemaRef ds:uri="0822d87c-9f4b-4af0-9aff-df6907880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4F443-8269-4192-B3D8-4EF053228A25}">
  <ds:schemaRefs>
    <ds:schemaRef ds:uri="http://schemas.microsoft.com/office/2006/metadata/properties"/>
    <ds:schemaRef ds:uri="http://schemas.microsoft.com/office/infopath/2007/PartnerControls"/>
    <ds:schemaRef ds:uri="8f8875c8-43a9-487a-8483-c93934f2a15b"/>
    <ds:schemaRef ds:uri="0822d87c-9f4b-4af0-9aff-df69078804cc"/>
  </ds:schemaRefs>
</ds:datastoreItem>
</file>

<file path=customXml/itemProps3.xml><?xml version="1.0" encoding="utf-8"?>
<ds:datastoreItem xmlns:ds="http://schemas.openxmlformats.org/officeDocument/2006/customXml" ds:itemID="{702BDD4B-5CA6-4060-9A9C-8607C5055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DE897-2FAD-4AFC-82C6-A8BC8B516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Yonker</dc:creator>
  <cp:keywords/>
  <dc:description/>
  <cp:lastModifiedBy>Cathy Nash</cp:lastModifiedBy>
  <cp:revision>24</cp:revision>
  <dcterms:created xsi:type="dcterms:W3CDTF">2022-05-13T23:27:00Z</dcterms:created>
  <dcterms:modified xsi:type="dcterms:W3CDTF">2023-05-10T16:13:00Z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0x010100CDFA67BB8893134191D9394909D4A940</vt:lpwstr>
  </property>
  <property fmtid="{D5CDD505-2E9C-101B-9397-08002B2CF9AE}" pid="3" name="MediaServiceImageTags">
    <vt:lpwstr/>
  </property>
</Properties>
</file>